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CA" w:rsidRPr="00A35EBE" w:rsidRDefault="00E131CA" w:rsidP="001F7551">
      <w:pPr>
        <w:pStyle w:val="NoSpacing"/>
        <w:jc w:val="center"/>
        <w:rPr>
          <w:b/>
          <w:lang w:eastAsia="pl-PL"/>
        </w:rPr>
      </w:pPr>
      <w:r w:rsidRPr="00A35EBE">
        <w:rPr>
          <w:b/>
          <w:lang w:eastAsia="pl-PL"/>
        </w:rPr>
        <w:t>Ocena zaburzeń ruchowych wybranych</w:t>
      </w:r>
      <w:r w:rsidR="000C22A1" w:rsidRPr="00A35EBE">
        <w:rPr>
          <w:b/>
          <w:lang w:eastAsia="pl-PL"/>
        </w:rPr>
        <w:t xml:space="preserve"> okolic</w:t>
      </w:r>
      <w:r w:rsidRPr="00A35EBE">
        <w:rPr>
          <w:b/>
          <w:lang w:eastAsia="pl-PL"/>
        </w:rPr>
        <w:t xml:space="preserve"> stawó</w:t>
      </w:r>
      <w:r w:rsidR="001F7551" w:rsidRPr="00A35EBE">
        <w:rPr>
          <w:b/>
          <w:lang w:eastAsia="pl-PL"/>
        </w:rPr>
        <w:t xml:space="preserve">w </w:t>
      </w:r>
      <w:r w:rsidRPr="00A35EBE">
        <w:rPr>
          <w:b/>
          <w:lang w:eastAsia="pl-PL"/>
        </w:rPr>
        <w:t>prowadzona na bazie transformaty</w:t>
      </w:r>
      <w:r w:rsidR="00575465">
        <w:rPr>
          <w:b/>
          <w:lang w:eastAsia="pl-PL"/>
        </w:rPr>
        <w:t xml:space="preserve"> dynamicznego marszczenia czasu</w:t>
      </w:r>
    </w:p>
    <w:p w:rsidR="00737771" w:rsidRPr="001F7551" w:rsidRDefault="00737771" w:rsidP="001F7551">
      <w:pPr>
        <w:pStyle w:val="NoSpacing"/>
        <w:jc w:val="center"/>
        <w:rPr>
          <w:lang w:eastAsia="pl-PL"/>
        </w:rPr>
      </w:pPr>
    </w:p>
    <w:p w:rsidR="00737771" w:rsidRPr="001F7551" w:rsidRDefault="005F4268" w:rsidP="001F7551">
      <w:pPr>
        <w:pStyle w:val="NoSpacing"/>
        <w:jc w:val="center"/>
        <w:rPr>
          <w:vertAlign w:val="superscript"/>
        </w:rPr>
      </w:pPr>
      <w:r>
        <w:t xml:space="preserve"> </w:t>
      </w:r>
      <w:r w:rsidRPr="001F7551">
        <w:t>Agnieszka Michalczuk</w:t>
      </w:r>
      <w:r w:rsidRPr="001F7551">
        <w:rPr>
          <w:vertAlign w:val="superscript"/>
        </w:rPr>
        <w:t>1,2</w:t>
      </w:r>
      <w:r w:rsidR="00737771" w:rsidRPr="001F7551">
        <w:t xml:space="preserve">, </w:t>
      </w:r>
      <w:r w:rsidRPr="001F7551">
        <w:t>Romualda Mucha</w:t>
      </w:r>
      <w:r w:rsidRPr="001F7551">
        <w:rPr>
          <w:vertAlign w:val="superscript"/>
        </w:rPr>
        <w:t>3</w:t>
      </w:r>
      <w:r w:rsidR="00737771" w:rsidRPr="001F7551">
        <w:t xml:space="preserve">, </w:t>
      </w:r>
      <w:r w:rsidRPr="001F7551">
        <w:t>Adam Świtoński</w:t>
      </w:r>
      <w:r w:rsidRPr="001F7551">
        <w:rPr>
          <w:vertAlign w:val="superscript"/>
        </w:rPr>
        <w:t>1,2</w:t>
      </w:r>
      <w:r>
        <w:rPr>
          <w:vertAlign w:val="superscript"/>
        </w:rPr>
        <w:t>,</w:t>
      </w:r>
      <w:r w:rsidR="00737771" w:rsidRPr="001F7551">
        <w:t>Henryk Josiński</w:t>
      </w:r>
      <w:r>
        <w:rPr>
          <w:vertAlign w:val="superscript"/>
        </w:rPr>
        <w:t>1,</w:t>
      </w:r>
      <w:r w:rsidR="00737771" w:rsidRPr="001F7551">
        <w:t xml:space="preserve"> , Konrad Wojciechowski</w:t>
      </w:r>
      <w:r w:rsidR="00737771" w:rsidRPr="001F7551">
        <w:rPr>
          <w:vertAlign w:val="superscript"/>
        </w:rPr>
        <w:t>1,2</w:t>
      </w:r>
    </w:p>
    <w:p w:rsidR="00737771" w:rsidRPr="00DC46DD" w:rsidRDefault="00737771" w:rsidP="001F7551">
      <w:pPr>
        <w:pStyle w:val="NoSpacing"/>
        <w:jc w:val="center"/>
        <w:rPr>
          <w:sz w:val="20"/>
          <w:szCs w:val="20"/>
        </w:rPr>
      </w:pPr>
    </w:p>
    <w:p w:rsidR="00737771" w:rsidRPr="00DC46DD" w:rsidRDefault="00737771" w:rsidP="001F7551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46DD">
        <w:rPr>
          <w:rFonts w:asciiTheme="minorHAnsi" w:hAnsiTheme="minorHAnsi"/>
          <w:sz w:val="20"/>
          <w:szCs w:val="20"/>
          <w:vertAlign w:val="superscript"/>
        </w:rPr>
        <w:t>1)</w:t>
      </w:r>
      <w:r w:rsidRPr="00DC46DD">
        <w:rPr>
          <w:rFonts w:asciiTheme="minorHAnsi" w:hAnsiTheme="minorHAnsi"/>
          <w:sz w:val="20"/>
          <w:szCs w:val="20"/>
        </w:rPr>
        <w:t>Polsko-Japońska Wyższa Szkoła Technik Komputerowych, Wydział Zamiejscowy</w:t>
      </w:r>
      <w:r w:rsidR="001F7551" w:rsidRPr="00DC46DD">
        <w:rPr>
          <w:rFonts w:asciiTheme="minorHAnsi" w:hAnsiTheme="minorHAnsi"/>
          <w:sz w:val="20"/>
          <w:szCs w:val="20"/>
        </w:rPr>
        <w:t xml:space="preserve"> w </w:t>
      </w:r>
      <w:r w:rsidRPr="00DC46DD">
        <w:rPr>
          <w:rFonts w:asciiTheme="minorHAnsi" w:hAnsiTheme="minorHAnsi"/>
          <w:sz w:val="20"/>
          <w:szCs w:val="20"/>
        </w:rPr>
        <w:t>Bytomiu, Aleja Legionó</w:t>
      </w:r>
      <w:r w:rsidR="001F7551" w:rsidRPr="00DC46DD">
        <w:rPr>
          <w:rFonts w:asciiTheme="minorHAnsi" w:hAnsiTheme="minorHAnsi"/>
          <w:sz w:val="20"/>
          <w:szCs w:val="20"/>
        </w:rPr>
        <w:t xml:space="preserve">w </w:t>
      </w:r>
      <w:r w:rsidRPr="00DC46DD">
        <w:rPr>
          <w:rFonts w:asciiTheme="minorHAnsi" w:hAnsiTheme="minorHAnsi"/>
          <w:sz w:val="20"/>
          <w:szCs w:val="20"/>
        </w:rPr>
        <w:t>2, 41-902 Bytom</w:t>
      </w:r>
    </w:p>
    <w:p w:rsidR="00737771" w:rsidRPr="00DC46DD" w:rsidRDefault="00737771" w:rsidP="001F7551">
      <w:pPr>
        <w:pStyle w:val="NoSpacing"/>
        <w:jc w:val="center"/>
        <w:rPr>
          <w:sz w:val="20"/>
          <w:szCs w:val="20"/>
        </w:rPr>
      </w:pPr>
      <w:r w:rsidRPr="00DC46DD">
        <w:rPr>
          <w:sz w:val="20"/>
          <w:szCs w:val="20"/>
          <w:vertAlign w:val="superscript"/>
        </w:rPr>
        <w:t>2)</w:t>
      </w:r>
      <w:r w:rsidRPr="00DC46DD">
        <w:rPr>
          <w:sz w:val="20"/>
          <w:szCs w:val="20"/>
        </w:rPr>
        <w:t>Politechnika Śląska</w:t>
      </w:r>
      <w:r w:rsidR="001F7551" w:rsidRPr="00DC46DD">
        <w:rPr>
          <w:sz w:val="20"/>
          <w:szCs w:val="20"/>
        </w:rPr>
        <w:t xml:space="preserve"> w </w:t>
      </w:r>
      <w:r w:rsidRPr="00DC46DD">
        <w:rPr>
          <w:sz w:val="20"/>
          <w:szCs w:val="20"/>
        </w:rPr>
        <w:t>Gliwicach, ul. Akademicka 16, 44-100 Gliwice</w:t>
      </w:r>
    </w:p>
    <w:p w:rsidR="00737771" w:rsidRPr="00DC46DD" w:rsidRDefault="00737771" w:rsidP="001F7551">
      <w:pPr>
        <w:pStyle w:val="NoSpacing"/>
        <w:jc w:val="center"/>
        <w:rPr>
          <w:sz w:val="20"/>
          <w:szCs w:val="20"/>
          <w:lang w:eastAsia="pl-PL"/>
        </w:rPr>
      </w:pPr>
      <w:r w:rsidRPr="00DC46DD">
        <w:rPr>
          <w:sz w:val="20"/>
          <w:szCs w:val="20"/>
          <w:vertAlign w:val="superscript"/>
        </w:rPr>
        <w:t>3)</w:t>
      </w:r>
      <w:r w:rsidRPr="00DC46DD">
        <w:rPr>
          <w:sz w:val="20"/>
          <w:szCs w:val="20"/>
        </w:rPr>
        <w:t>Katedra</w:t>
      </w:r>
      <w:r w:rsidR="001F7551" w:rsidRPr="00DC46DD">
        <w:rPr>
          <w:sz w:val="20"/>
          <w:szCs w:val="20"/>
        </w:rPr>
        <w:t xml:space="preserve"> i </w:t>
      </w:r>
      <w:r w:rsidRPr="00DC46DD">
        <w:rPr>
          <w:sz w:val="20"/>
          <w:szCs w:val="20"/>
        </w:rPr>
        <w:t>Klinika Chorób Wewnętrznych, Angiologi</w:t>
      </w:r>
      <w:r w:rsidR="001F7551" w:rsidRPr="00DC46DD">
        <w:rPr>
          <w:sz w:val="20"/>
          <w:szCs w:val="20"/>
        </w:rPr>
        <w:t>i i </w:t>
      </w:r>
      <w:r w:rsidRPr="00DC46DD">
        <w:rPr>
          <w:sz w:val="20"/>
          <w:szCs w:val="20"/>
        </w:rPr>
        <w:t xml:space="preserve">Medycyny Fizykalnej, </w:t>
      </w:r>
      <w:r w:rsidR="00270941">
        <w:rPr>
          <w:sz w:val="20"/>
          <w:szCs w:val="20"/>
        </w:rPr>
        <w:t>ul. Batorego 15, 41-500 Bytom</w:t>
      </w:r>
    </w:p>
    <w:p w:rsidR="0092077A" w:rsidRDefault="0092077A" w:rsidP="001F7551">
      <w:pPr>
        <w:pStyle w:val="NoSpacing"/>
        <w:jc w:val="both"/>
        <w:rPr>
          <w:lang w:eastAsia="pl-PL"/>
        </w:rPr>
      </w:pPr>
    </w:p>
    <w:p w:rsidR="0002545C" w:rsidRPr="001F7551" w:rsidRDefault="0002545C" w:rsidP="001F7551">
      <w:pPr>
        <w:pStyle w:val="NoSpacing"/>
        <w:jc w:val="both"/>
        <w:rPr>
          <w:lang w:eastAsia="pl-PL"/>
        </w:rPr>
      </w:pPr>
    </w:p>
    <w:p w:rsidR="00E131CA" w:rsidRPr="001F7551" w:rsidRDefault="00E131CA" w:rsidP="001F7551">
      <w:pPr>
        <w:pStyle w:val="NoSpacing"/>
        <w:jc w:val="both"/>
        <w:rPr>
          <w:lang w:eastAsia="pl-PL"/>
        </w:rPr>
      </w:pPr>
      <w:r w:rsidRPr="001F7551">
        <w:rPr>
          <w:lang w:eastAsia="pl-PL"/>
        </w:rPr>
        <w:t xml:space="preserve">WSTĘP </w:t>
      </w:r>
    </w:p>
    <w:p w:rsidR="00E131CA" w:rsidRPr="001F7551" w:rsidRDefault="00E131CA" w:rsidP="001F7551">
      <w:pPr>
        <w:pStyle w:val="NoSpacing"/>
        <w:jc w:val="both"/>
        <w:rPr>
          <w:lang w:eastAsia="pl-PL"/>
        </w:rPr>
      </w:pPr>
      <w:r w:rsidRPr="001F7551">
        <w:rPr>
          <w:lang w:eastAsia="pl-PL"/>
        </w:rPr>
        <w:t>Zaburzenia układu nerwowego</w:t>
      </w:r>
      <w:r w:rsidR="001F7551" w:rsidRPr="001F7551">
        <w:rPr>
          <w:lang w:eastAsia="pl-PL"/>
        </w:rPr>
        <w:t xml:space="preserve"> i </w:t>
      </w:r>
      <w:r w:rsidRPr="001F7551">
        <w:rPr>
          <w:lang w:eastAsia="pl-PL"/>
        </w:rPr>
        <w:t>mięśniowo-szkieletowego wpływają znacząco na chód człowieka. Zmiany chorobowe ora</w:t>
      </w:r>
      <w:r w:rsidR="001F7551" w:rsidRPr="001F7551">
        <w:rPr>
          <w:lang w:eastAsia="pl-PL"/>
        </w:rPr>
        <w:t xml:space="preserve">z </w:t>
      </w:r>
      <w:r w:rsidRPr="001F7551">
        <w:rPr>
          <w:lang w:eastAsia="pl-PL"/>
        </w:rPr>
        <w:t>ból powodują odchylenia od chodu prawidłowego</w:t>
      </w:r>
      <w:r w:rsidR="001F7551" w:rsidRPr="001F7551">
        <w:rPr>
          <w:lang w:eastAsia="pl-PL"/>
        </w:rPr>
        <w:t xml:space="preserve"> i </w:t>
      </w:r>
      <w:r w:rsidRPr="001F7551">
        <w:rPr>
          <w:lang w:eastAsia="pl-PL"/>
        </w:rPr>
        <w:t>są przyczyną różnych postac</w:t>
      </w:r>
      <w:r w:rsidR="001F7551" w:rsidRPr="001F7551">
        <w:rPr>
          <w:lang w:eastAsia="pl-PL"/>
        </w:rPr>
        <w:t xml:space="preserve">i </w:t>
      </w:r>
      <w:r w:rsidR="000C22A1">
        <w:rPr>
          <w:lang w:eastAsia="pl-PL"/>
        </w:rPr>
        <w:t xml:space="preserve">patologicznych </w:t>
      </w:r>
      <w:r w:rsidR="001F7551" w:rsidRPr="001F7551">
        <w:rPr>
          <w:lang w:eastAsia="pl-PL"/>
        </w:rPr>
        <w:t>chodu [1</w:t>
      </w:r>
      <w:r w:rsidRPr="001F7551">
        <w:rPr>
          <w:lang w:eastAsia="pl-PL"/>
        </w:rPr>
        <w:t>]. Udar mózgu powstały</w:t>
      </w:r>
      <w:r w:rsidR="001F7551" w:rsidRPr="001F7551">
        <w:rPr>
          <w:lang w:eastAsia="pl-PL"/>
        </w:rPr>
        <w:t xml:space="preserve"> w </w:t>
      </w:r>
      <w:r w:rsidRPr="001F7551">
        <w:rPr>
          <w:lang w:eastAsia="pl-PL"/>
        </w:rPr>
        <w:t>wyniku uszkodzenia ośrodkowego układu nerwowego jest najczęstszą przyczyną niepełnosprawnośc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osób dorosłych. Ponad 50% chorych, którzy przeżyl</w:t>
      </w:r>
      <w:r w:rsidR="001F7551" w:rsidRPr="001F7551">
        <w:rPr>
          <w:lang w:eastAsia="pl-PL"/>
        </w:rPr>
        <w:t xml:space="preserve">i </w:t>
      </w:r>
      <w:r w:rsidR="000C22A1">
        <w:rPr>
          <w:lang w:eastAsia="pl-PL"/>
        </w:rPr>
        <w:t>ostrą</w:t>
      </w:r>
      <w:r w:rsidRPr="001F7551">
        <w:rPr>
          <w:lang w:eastAsia="pl-PL"/>
        </w:rPr>
        <w:t xml:space="preserve"> fazę udaru, jest niezdolna do samodzielnego chodzenia, a u 70% stwierdza się trudnośc</w:t>
      </w:r>
      <w:r w:rsidR="001F7551" w:rsidRPr="001F7551">
        <w:rPr>
          <w:lang w:eastAsia="pl-PL"/>
        </w:rPr>
        <w:t>i w </w:t>
      </w:r>
      <w:r w:rsidRPr="001F7551">
        <w:rPr>
          <w:lang w:eastAsia="pl-PL"/>
        </w:rPr>
        <w:t>chodzeniu [2,3].</w:t>
      </w:r>
      <w:r w:rsidR="00270941">
        <w:rPr>
          <w:lang w:eastAsia="pl-PL"/>
        </w:rPr>
        <w:t xml:space="preserve"> Choroba </w:t>
      </w:r>
      <w:r w:rsidR="0067435A">
        <w:rPr>
          <w:lang w:eastAsia="pl-PL"/>
        </w:rPr>
        <w:t>wyrodnieniową stawów</w:t>
      </w:r>
      <w:r w:rsidRPr="001F7551">
        <w:rPr>
          <w:lang w:eastAsia="pl-PL"/>
        </w:rPr>
        <w:t xml:space="preserve"> jest jednym</w:t>
      </w:r>
      <w:r w:rsidR="001F7551" w:rsidRPr="001F7551">
        <w:rPr>
          <w:lang w:eastAsia="pl-PL"/>
        </w:rPr>
        <w:t xml:space="preserve"> z </w:t>
      </w:r>
      <w:r w:rsidRPr="001F7551">
        <w:rPr>
          <w:lang w:eastAsia="pl-PL"/>
        </w:rPr>
        <w:t>pięciu najczęściej wyst</w:t>
      </w:r>
      <w:r w:rsidR="00270941">
        <w:rPr>
          <w:lang w:eastAsia="pl-PL"/>
        </w:rPr>
        <w:t>ępujących schorzeń przewlekłych</w:t>
      </w:r>
      <w:r w:rsidRPr="001F7551">
        <w:rPr>
          <w:lang w:eastAsia="pl-PL"/>
        </w:rPr>
        <w:t xml:space="preserve"> [4]. Chód patologiczny u osób</w:t>
      </w:r>
      <w:r w:rsidR="001F7551" w:rsidRPr="001F7551">
        <w:rPr>
          <w:lang w:eastAsia="pl-PL"/>
        </w:rPr>
        <w:t xml:space="preserve"> z </w:t>
      </w:r>
      <w:r w:rsidRPr="001F7551">
        <w:rPr>
          <w:lang w:eastAsia="pl-PL"/>
        </w:rPr>
        <w:t>niedowładem połowiczym charakteryzuje się niepewnością chodu, asymetrią postawy ciała, asymetrią czasu trwania fa</w:t>
      </w:r>
      <w:r w:rsidR="001F7551" w:rsidRPr="001F7551">
        <w:rPr>
          <w:lang w:eastAsia="pl-PL"/>
        </w:rPr>
        <w:t xml:space="preserve">z </w:t>
      </w:r>
      <w:r w:rsidRPr="001F7551">
        <w:rPr>
          <w:lang w:eastAsia="pl-PL"/>
        </w:rPr>
        <w:t>chodu</w:t>
      </w:r>
      <w:r w:rsidR="001F7551" w:rsidRPr="001F7551">
        <w:rPr>
          <w:lang w:eastAsia="pl-PL"/>
        </w:rPr>
        <w:t xml:space="preserve"> i </w:t>
      </w:r>
      <w:r w:rsidRPr="001F7551">
        <w:rPr>
          <w:lang w:eastAsia="pl-PL"/>
        </w:rPr>
        <w:t>długośc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kroku ora</w:t>
      </w:r>
      <w:r w:rsidR="001F7551" w:rsidRPr="001F7551">
        <w:rPr>
          <w:lang w:eastAsia="pl-PL"/>
        </w:rPr>
        <w:t xml:space="preserve">z </w:t>
      </w:r>
      <w:r w:rsidR="002A70A1" w:rsidRPr="001F7551">
        <w:rPr>
          <w:lang w:eastAsia="pl-PL"/>
        </w:rPr>
        <w:t>obciążeniem</w:t>
      </w:r>
      <w:r w:rsidRPr="001F7551">
        <w:rPr>
          <w:lang w:eastAsia="pl-PL"/>
        </w:rPr>
        <w:t xml:space="preserve"> kończyny dolnej niedowładnej, obniżoną prędkością chodu [2].</w:t>
      </w:r>
      <w:r w:rsidR="001F7551" w:rsidRPr="001F7551">
        <w:rPr>
          <w:lang w:eastAsia="pl-PL"/>
        </w:rPr>
        <w:t xml:space="preserve"> </w:t>
      </w:r>
      <w:r w:rsidR="0067435A">
        <w:rPr>
          <w:lang w:eastAsia="pl-PL"/>
        </w:rPr>
        <w:t>W</w:t>
      </w:r>
      <w:r w:rsidR="001F7551" w:rsidRPr="001F7551">
        <w:rPr>
          <w:lang w:eastAsia="pl-PL"/>
        </w:rPr>
        <w:t> </w:t>
      </w:r>
      <w:r w:rsidRPr="001F7551">
        <w:rPr>
          <w:lang w:eastAsia="pl-PL"/>
        </w:rPr>
        <w:t xml:space="preserve">przypadku zwyrodnienia stawu biodrowego utykaniu towarzyszy skrócona faza podparcia kończyny </w:t>
      </w:r>
      <w:r w:rsidR="000C22A1">
        <w:rPr>
          <w:lang w:eastAsia="pl-PL"/>
        </w:rPr>
        <w:t>chorej</w:t>
      </w:r>
      <w:r w:rsidR="0067435A">
        <w:rPr>
          <w:lang w:eastAsia="pl-PL"/>
        </w:rPr>
        <w:t xml:space="preserve"> </w:t>
      </w:r>
      <w:r w:rsidRPr="001F7551">
        <w:rPr>
          <w:lang w:eastAsia="pl-PL"/>
        </w:rPr>
        <w:t xml:space="preserve">[3]. </w:t>
      </w:r>
    </w:p>
    <w:p w:rsidR="00E131CA" w:rsidRPr="001F7551" w:rsidRDefault="00E131CA" w:rsidP="001F7551">
      <w:pPr>
        <w:pStyle w:val="NoSpacing"/>
        <w:jc w:val="both"/>
        <w:rPr>
          <w:lang w:eastAsia="pl-PL"/>
        </w:rPr>
      </w:pPr>
      <w:r w:rsidRPr="001F7551">
        <w:rPr>
          <w:lang w:eastAsia="pl-PL"/>
        </w:rPr>
        <w:t>Celem pracy jest wyznaczenie okolic stawó</w:t>
      </w:r>
      <w:r w:rsidR="001F7551" w:rsidRPr="001F7551">
        <w:rPr>
          <w:lang w:eastAsia="pl-PL"/>
        </w:rPr>
        <w:t xml:space="preserve">w </w:t>
      </w:r>
      <w:r w:rsidRPr="001F7551">
        <w:rPr>
          <w:lang w:eastAsia="pl-PL"/>
        </w:rPr>
        <w:t>charakterystycznych dla chodu pacjentó</w:t>
      </w:r>
      <w:r w:rsidR="001F7551" w:rsidRPr="001F7551">
        <w:rPr>
          <w:lang w:eastAsia="pl-PL"/>
        </w:rPr>
        <w:t xml:space="preserve">w </w:t>
      </w:r>
      <w:r w:rsidRPr="001F7551">
        <w:rPr>
          <w:lang w:eastAsia="pl-PL"/>
        </w:rPr>
        <w:t>po udarze mózgu,</w:t>
      </w:r>
      <w:r w:rsidR="001F7551" w:rsidRPr="001F7551">
        <w:rPr>
          <w:lang w:eastAsia="pl-PL"/>
        </w:rPr>
        <w:t xml:space="preserve"> z </w:t>
      </w:r>
      <w:r w:rsidRPr="001F7551">
        <w:rPr>
          <w:lang w:eastAsia="pl-PL"/>
        </w:rPr>
        <w:t>zwyrodni</w:t>
      </w:r>
      <w:r w:rsidR="002A70A1" w:rsidRPr="001F7551">
        <w:rPr>
          <w:lang w:eastAsia="pl-PL"/>
        </w:rPr>
        <w:t>eniem</w:t>
      </w:r>
      <w:r w:rsidRPr="001F7551">
        <w:rPr>
          <w:lang w:eastAsia="pl-PL"/>
        </w:rPr>
        <w:t xml:space="preserve"> kręgosłupa</w:t>
      </w:r>
      <w:r w:rsidR="001F7551" w:rsidRPr="001F7551">
        <w:rPr>
          <w:lang w:eastAsia="pl-PL"/>
        </w:rPr>
        <w:t xml:space="preserve"> i </w:t>
      </w:r>
      <w:r w:rsidRPr="001F7551">
        <w:rPr>
          <w:lang w:eastAsia="pl-PL"/>
        </w:rPr>
        <w:t>po endoprotezie stawu biodrowego, poprze</w:t>
      </w:r>
      <w:r w:rsidR="001F7551" w:rsidRPr="001F7551">
        <w:rPr>
          <w:lang w:eastAsia="pl-PL"/>
        </w:rPr>
        <w:t xml:space="preserve">z </w:t>
      </w:r>
      <w:r w:rsidRPr="001F7551">
        <w:rPr>
          <w:lang w:eastAsia="pl-PL"/>
        </w:rPr>
        <w:t>wyznaczenie średnich odległośc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 xml:space="preserve">bazując </w:t>
      </w:r>
      <w:r w:rsidR="00270941">
        <w:rPr>
          <w:lang w:eastAsia="pl-PL"/>
        </w:rPr>
        <w:t>na transformacie</w:t>
      </w:r>
      <w:r w:rsidR="00270941" w:rsidRPr="00D2307C">
        <w:rPr>
          <w:lang w:eastAsia="pl-PL"/>
        </w:rPr>
        <w:t xml:space="preserve"> dynamicznego marszczenia</w:t>
      </w:r>
      <w:r w:rsidR="00270941">
        <w:rPr>
          <w:lang w:eastAsia="pl-PL"/>
        </w:rPr>
        <w:t xml:space="preserve"> </w:t>
      </w:r>
      <w:r w:rsidR="00270941" w:rsidRPr="00D2307C">
        <w:rPr>
          <w:lang w:eastAsia="pl-PL"/>
        </w:rPr>
        <w:t>(Dynamic</w:t>
      </w:r>
      <w:r w:rsidR="00270941">
        <w:rPr>
          <w:lang w:eastAsia="pl-PL"/>
        </w:rPr>
        <w:t xml:space="preserve"> Time Wraping – </w:t>
      </w:r>
      <w:r w:rsidR="00270941" w:rsidRPr="001F7551">
        <w:rPr>
          <w:lang w:eastAsia="pl-PL"/>
        </w:rPr>
        <w:t>DTW</w:t>
      </w:r>
      <w:r w:rsidR="00270941">
        <w:rPr>
          <w:lang w:eastAsia="pl-PL"/>
        </w:rPr>
        <w:t>)</w:t>
      </w:r>
      <w:r w:rsidRPr="001F7551">
        <w:rPr>
          <w:lang w:eastAsia="pl-PL"/>
        </w:rPr>
        <w:t>. Metoda DT</w:t>
      </w:r>
      <w:r w:rsidR="001F7551" w:rsidRPr="001F7551">
        <w:rPr>
          <w:lang w:eastAsia="pl-PL"/>
        </w:rPr>
        <w:t xml:space="preserve">W </w:t>
      </w:r>
      <w:r w:rsidRPr="001F7551">
        <w:rPr>
          <w:lang w:eastAsia="pl-PL"/>
        </w:rPr>
        <w:t>zastosowana do identyfikacj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osób zdrowych dla poszczególnych stawó</w:t>
      </w:r>
      <w:r w:rsidR="001F7551" w:rsidRPr="001F7551">
        <w:rPr>
          <w:lang w:eastAsia="pl-PL"/>
        </w:rPr>
        <w:t xml:space="preserve">w </w:t>
      </w:r>
      <w:r w:rsidRPr="001F7551">
        <w:rPr>
          <w:lang w:eastAsia="pl-PL"/>
        </w:rPr>
        <w:t>została zaprezentowana</w:t>
      </w:r>
      <w:r w:rsidR="001F7551" w:rsidRPr="001F7551">
        <w:rPr>
          <w:lang w:eastAsia="pl-PL"/>
        </w:rPr>
        <w:t xml:space="preserve"> w </w:t>
      </w:r>
      <w:r w:rsidRPr="001F7551">
        <w:rPr>
          <w:lang w:eastAsia="pl-PL"/>
        </w:rPr>
        <w:t>pracy [</w:t>
      </w:r>
      <w:r w:rsidR="00822845" w:rsidRPr="001F7551">
        <w:rPr>
          <w:lang w:eastAsia="pl-PL"/>
        </w:rPr>
        <w:t>5</w:t>
      </w:r>
      <w:r w:rsidRPr="001F7551">
        <w:rPr>
          <w:lang w:eastAsia="pl-PL"/>
        </w:rPr>
        <w:t>].</w:t>
      </w:r>
    </w:p>
    <w:p w:rsidR="0092077A" w:rsidRPr="001F7551" w:rsidRDefault="0092077A" w:rsidP="001F7551">
      <w:pPr>
        <w:pStyle w:val="NoSpacing"/>
        <w:jc w:val="both"/>
        <w:rPr>
          <w:lang w:eastAsia="pl-PL"/>
        </w:rPr>
      </w:pPr>
    </w:p>
    <w:p w:rsidR="00E131CA" w:rsidRPr="001F7551" w:rsidRDefault="00E131CA" w:rsidP="001F7551">
      <w:pPr>
        <w:pStyle w:val="NoSpacing"/>
        <w:jc w:val="both"/>
        <w:rPr>
          <w:lang w:eastAsia="pl-PL"/>
        </w:rPr>
      </w:pPr>
      <w:r w:rsidRPr="001F7551">
        <w:rPr>
          <w:lang w:eastAsia="pl-PL"/>
        </w:rPr>
        <w:t>MATERIAŁ</w:t>
      </w:r>
      <w:r w:rsidR="001F7551" w:rsidRPr="001F7551">
        <w:rPr>
          <w:lang w:eastAsia="pl-PL"/>
        </w:rPr>
        <w:t xml:space="preserve"> i </w:t>
      </w:r>
      <w:r w:rsidRPr="001F7551">
        <w:rPr>
          <w:lang w:eastAsia="pl-PL"/>
        </w:rPr>
        <w:t xml:space="preserve">METODA </w:t>
      </w:r>
    </w:p>
    <w:p w:rsidR="00E131CA" w:rsidRPr="001F7551" w:rsidRDefault="00E131CA" w:rsidP="001F7551">
      <w:pPr>
        <w:pStyle w:val="NoSpacing"/>
        <w:jc w:val="both"/>
        <w:rPr>
          <w:lang w:eastAsia="pl-PL"/>
        </w:rPr>
      </w:pPr>
      <w:r w:rsidRPr="001F7551">
        <w:rPr>
          <w:lang w:eastAsia="pl-PL"/>
        </w:rPr>
        <w:t>Grupa badana stanow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20 osób</w:t>
      </w:r>
      <w:r w:rsidR="001F7551" w:rsidRPr="001F7551">
        <w:rPr>
          <w:lang w:eastAsia="pl-PL"/>
        </w:rPr>
        <w:t xml:space="preserve"> z </w:t>
      </w:r>
      <w:r w:rsidR="002A70A1" w:rsidRPr="001F7551">
        <w:rPr>
          <w:lang w:eastAsia="pl-PL"/>
        </w:rPr>
        <w:t>rozpoznanym</w:t>
      </w:r>
      <w:r w:rsidRPr="001F7551">
        <w:rPr>
          <w:lang w:eastAsia="pl-PL"/>
        </w:rPr>
        <w:t xml:space="preserve"> udar</w:t>
      </w:r>
      <w:r w:rsidR="002A70A1" w:rsidRPr="001F7551">
        <w:rPr>
          <w:lang w:eastAsia="pl-PL"/>
        </w:rPr>
        <w:t>em</w:t>
      </w:r>
      <w:r w:rsidRPr="001F7551">
        <w:rPr>
          <w:lang w:eastAsia="pl-PL"/>
        </w:rPr>
        <w:t xml:space="preserve"> mózgu, zwyrodnienie</w:t>
      </w:r>
      <w:r w:rsidR="002A70A1" w:rsidRPr="001F7551">
        <w:rPr>
          <w:lang w:eastAsia="pl-PL"/>
        </w:rPr>
        <w:t>m</w:t>
      </w:r>
      <w:r w:rsidRPr="001F7551">
        <w:rPr>
          <w:lang w:eastAsia="pl-PL"/>
        </w:rPr>
        <w:t xml:space="preserve"> kręgosłupa</w:t>
      </w:r>
      <w:r w:rsidR="001F7551" w:rsidRPr="001F7551">
        <w:rPr>
          <w:lang w:eastAsia="pl-PL"/>
        </w:rPr>
        <w:t xml:space="preserve"> i </w:t>
      </w:r>
      <w:r w:rsidR="002A70A1" w:rsidRPr="001F7551">
        <w:rPr>
          <w:lang w:eastAsia="pl-PL"/>
        </w:rPr>
        <w:t xml:space="preserve">po </w:t>
      </w:r>
      <w:r w:rsidRPr="001F7551">
        <w:rPr>
          <w:lang w:eastAsia="pl-PL"/>
        </w:rPr>
        <w:t>endo</w:t>
      </w:r>
      <w:r w:rsidR="005F4268">
        <w:rPr>
          <w:lang w:eastAsia="pl-PL"/>
        </w:rPr>
        <w:t>plastyce stawu biodrowego. Grupa</w:t>
      </w:r>
      <w:r w:rsidRPr="001F7551">
        <w:rPr>
          <w:lang w:eastAsia="pl-PL"/>
        </w:rPr>
        <w:t xml:space="preserve"> </w:t>
      </w:r>
      <w:r w:rsidR="005F4268">
        <w:rPr>
          <w:lang w:eastAsia="pl-PL"/>
        </w:rPr>
        <w:t>kontrolna</w:t>
      </w:r>
      <w:r w:rsidRPr="001F7551">
        <w:rPr>
          <w:lang w:eastAsia="pl-PL"/>
        </w:rPr>
        <w:t xml:space="preserve"> </w:t>
      </w:r>
      <w:r w:rsidR="005F4268">
        <w:rPr>
          <w:lang w:eastAsia="pl-PL"/>
        </w:rPr>
        <w:t>zawiera 20 </w:t>
      </w:r>
      <w:r w:rsidR="0045425F">
        <w:rPr>
          <w:lang w:eastAsia="pl-PL"/>
        </w:rPr>
        <w:t xml:space="preserve">osob </w:t>
      </w:r>
      <w:r w:rsidRPr="001F7551">
        <w:rPr>
          <w:lang w:eastAsia="pl-PL"/>
        </w:rPr>
        <w:t>zdrowych. Pomiary zarejestrowano</w:t>
      </w:r>
      <w:r w:rsidR="001F7551" w:rsidRPr="001F7551">
        <w:rPr>
          <w:lang w:eastAsia="pl-PL"/>
        </w:rPr>
        <w:t xml:space="preserve"> w </w:t>
      </w:r>
      <w:r w:rsidRPr="001F7551">
        <w:rPr>
          <w:lang w:eastAsia="pl-PL"/>
        </w:rPr>
        <w:t>Laboratorium Ruchu [</w:t>
      </w:r>
      <w:r w:rsidR="005F4268">
        <w:rPr>
          <w:lang w:eastAsia="pl-PL"/>
        </w:rPr>
        <w:t>6</w:t>
      </w:r>
      <w:r w:rsidRPr="001F7551">
        <w:rPr>
          <w:lang w:eastAsia="pl-PL"/>
        </w:rPr>
        <w:t>]</w:t>
      </w:r>
      <w:r w:rsidR="001F7551" w:rsidRPr="001F7551">
        <w:rPr>
          <w:lang w:eastAsia="pl-PL"/>
        </w:rPr>
        <w:t xml:space="preserve"> z </w:t>
      </w:r>
      <w:r w:rsidRPr="001F7551">
        <w:rPr>
          <w:lang w:eastAsia="pl-PL"/>
        </w:rPr>
        <w:t>użyciem systemu Vicon Nexus. Kąty stawó</w:t>
      </w:r>
      <w:r w:rsidR="001F7551" w:rsidRPr="001F7551">
        <w:rPr>
          <w:lang w:eastAsia="pl-PL"/>
        </w:rPr>
        <w:t xml:space="preserve">w </w:t>
      </w:r>
      <w:r w:rsidRPr="001F7551">
        <w:rPr>
          <w:lang w:eastAsia="pl-PL"/>
        </w:rPr>
        <w:t>zostały obliczone poprze</w:t>
      </w:r>
      <w:r w:rsidR="001F7551" w:rsidRPr="001F7551">
        <w:rPr>
          <w:lang w:eastAsia="pl-PL"/>
        </w:rPr>
        <w:t xml:space="preserve">z </w:t>
      </w:r>
      <w:r w:rsidRPr="001F7551">
        <w:rPr>
          <w:lang w:eastAsia="pl-PL"/>
        </w:rPr>
        <w:t>PlugInGait będący częścią systemu Vicon Nexus, natomiast na podstawie zdarzeń zapisanych</w:t>
      </w:r>
      <w:r w:rsidR="001F7551" w:rsidRPr="001F7551">
        <w:rPr>
          <w:lang w:eastAsia="pl-PL"/>
        </w:rPr>
        <w:t xml:space="preserve"> w </w:t>
      </w:r>
      <w:r w:rsidRPr="001F7551">
        <w:rPr>
          <w:lang w:eastAsia="pl-PL"/>
        </w:rPr>
        <w:t xml:space="preserve">plikach C3D, wybierano pełen cykl chodu. Cykl chodu - dwa </w:t>
      </w:r>
      <w:r w:rsidR="000C22A1">
        <w:rPr>
          <w:lang w:eastAsia="pl-PL"/>
        </w:rPr>
        <w:t>kontakty</w:t>
      </w:r>
      <w:r w:rsidR="001F7551" w:rsidRPr="001F7551">
        <w:rPr>
          <w:lang w:eastAsia="pl-PL"/>
        </w:rPr>
        <w:t xml:space="preserve"> </w:t>
      </w:r>
      <w:r w:rsidRPr="001F7551">
        <w:rPr>
          <w:lang w:eastAsia="pl-PL"/>
        </w:rPr>
        <w:t xml:space="preserve">stóp na podłożu, po jednym </w:t>
      </w:r>
      <w:r w:rsidR="000C22A1">
        <w:rPr>
          <w:lang w:eastAsia="pl-PL"/>
        </w:rPr>
        <w:t>kontakcie</w:t>
      </w:r>
      <w:r w:rsidRPr="001F7551">
        <w:rPr>
          <w:lang w:eastAsia="pl-PL"/>
        </w:rPr>
        <w:t xml:space="preserve"> dla każdej stopy – był wyznaczony</w:t>
      </w:r>
      <w:r w:rsidR="001F7551" w:rsidRPr="001F7551">
        <w:rPr>
          <w:lang w:eastAsia="pl-PL"/>
        </w:rPr>
        <w:t xml:space="preserve"> w </w:t>
      </w:r>
      <w:r w:rsidRPr="001F7551">
        <w:rPr>
          <w:lang w:eastAsia="pl-PL"/>
        </w:rPr>
        <w:t>możliwie środkowej fazie przejścia, by zminimalizować wpły</w:t>
      </w:r>
      <w:r w:rsidR="001F7551" w:rsidRPr="001F7551">
        <w:rPr>
          <w:lang w:eastAsia="pl-PL"/>
        </w:rPr>
        <w:t xml:space="preserve">w </w:t>
      </w:r>
      <w:r w:rsidRPr="001F7551">
        <w:rPr>
          <w:lang w:eastAsia="pl-PL"/>
        </w:rPr>
        <w:t>fazy startu</w:t>
      </w:r>
      <w:r w:rsidR="001F7551" w:rsidRPr="001F7551">
        <w:rPr>
          <w:lang w:eastAsia="pl-PL"/>
        </w:rPr>
        <w:t xml:space="preserve"> i </w:t>
      </w:r>
      <w:r w:rsidRPr="001F7551">
        <w:rPr>
          <w:lang w:eastAsia="pl-PL"/>
        </w:rPr>
        <w:t xml:space="preserve">zatrzymania </w:t>
      </w:r>
      <w:r w:rsidR="002A70A1" w:rsidRPr="001F7551">
        <w:rPr>
          <w:lang w:eastAsia="pl-PL"/>
        </w:rPr>
        <w:t>na analizę</w:t>
      </w:r>
      <w:r w:rsidRPr="001F7551">
        <w:rPr>
          <w:lang w:eastAsia="pl-PL"/>
        </w:rPr>
        <w:t xml:space="preserve"> chodu. Wyznaczone cykle </w:t>
      </w:r>
      <w:r w:rsidR="005F4268">
        <w:rPr>
          <w:lang w:eastAsia="pl-PL"/>
        </w:rPr>
        <w:t xml:space="preserve">badanego </w:t>
      </w:r>
      <w:r w:rsidRPr="001F7551">
        <w:rPr>
          <w:lang w:eastAsia="pl-PL"/>
        </w:rPr>
        <w:t>chodu charakter</w:t>
      </w:r>
      <w:r w:rsidR="000C22A1">
        <w:rPr>
          <w:lang w:eastAsia="pl-PL"/>
        </w:rPr>
        <w:t xml:space="preserve">yzują się indywidualnym czasem, </w:t>
      </w:r>
      <w:r w:rsidRPr="001F7551">
        <w:rPr>
          <w:lang w:eastAsia="pl-PL"/>
        </w:rPr>
        <w:t>zależnym od prędkośc</w:t>
      </w:r>
      <w:r w:rsidR="001F7551" w:rsidRPr="001F7551">
        <w:rPr>
          <w:lang w:eastAsia="pl-PL"/>
        </w:rPr>
        <w:t xml:space="preserve">i </w:t>
      </w:r>
      <w:r w:rsidR="000C22A1">
        <w:rPr>
          <w:lang w:eastAsia="pl-PL"/>
        </w:rPr>
        <w:t>przejścia</w:t>
      </w:r>
      <w:r w:rsidRPr="001F7551">
        <w:rPr>
          <w:lang w:eastAsia="pl-PL"/>
        </w:rPr>
        <w:t>, stąd otrzymujemy różnej długośc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 xml:space="preserve">sygnały dyskretne. Stosując </w:t>
      </w:r>
      <w:r w:rsidR="008E1AAE" w:rsidRPr="00D2307C">
        <w:rPr>
          <w:lang w:eastAsia="pl-PL"/>
        </w:rPr>
        <w:t>transformatę dynamicznego marszczenia</w:t>
      </w:r>
      <w:r w:rsidR="00270941">
        <w:rPr>
          <w:lang w:eastAsia="pl-PL"/>
        </w:rPr>
        <w:t xml:space="preserve"> </w:t>
      </w:r>
      <w:r w:rsidR="00737771" w:rsidRPr="001F7551">
        <w:rPr>
          <w:lang w:eastAsia="pl-PL"/>
        </w:rPr>
        <w:t xml:space="preserve">możemy określić </w:t>
      </w:r>
      <w:r w:rsidRPr="001F7551">
        <w:rPr>
          <w:lang w:eastAsia="pl-PL"/>
        </w:rPr>
        <w:t>podobieństwo dwóch cykl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chodu, be</w:t>
      </w:r>
      <w:r w:rsidR="001F7551" w:rsidRPr="001F7551">
        <w:rPr>
          <w:lang w:eastAsia="pl-PL"/>
        </w:rPr>
        <w:t xml:space="preserve">z </w:t>
      </w:r>
      <w:r w:rsidRPr="001F7551">
        <w:rPr>
          <w:lang w:eastAsia="pl-PL"/>
        </w:rPr>
        <w:t>koniecznośc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skalowania czy normalizacj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ich domeny czasu. DT</w:t>
      </w:r>
      <w:r w:rsidR="001F7551" w:rsidRPr="001F7551">
        <w:rPr>
          <w:lang w:eastAsia="pl-PL"/>
        </w:rPr>
        <w:t xml:space="preserve">W </w:t>
      </w:r>
      <w:r w:rsidRPr="001F7551">
        <w:rPr>
          <w:lang w:eastAsia="pl-PL"/>
        </w:rPr>
        <w:t>bazuje na macierzy kosztów, która zawiera podobieństwa pomiędzy każdą parą pó</w:t>
      </w:r>
      <w:r w:rsidR="00737771" w:rsidRPr="001F7551">
        <w:rPr>
          <w:lang w:eastAsia="pl-PL"/>
        </w:rPr>
        <w:t>z</w:t>
      </w:r>
      <w:r w:rsidR="001F7551" w:rsidRPr="001F7551">
        <w:rPr>
          <w:lang w:eastAsia="pl-PL"/>
        </w:rPr>
        <w:t xml:space="preserve"> w sekwencjach </w:t>
      </w:r>
      <w:r w:rsidRPr="001F7551">
        <w:rPr>
          <w:lang w:eastAsia="pl-PL"/>
        </w:rPr>
        <w:t>ruchu. Synchronizacja jest określona prze</w:t>
      </w:r>
      <w:r w:rsidR="001F7551" w:rsidRPr="001F7551">
        <w:rPr>
          <w:lang w:eastAsia="pl-PL"/>
        </w:rPr>
        <w:t xml:space="preserve">z </w:t>
      </w:r>
      <w:r w:rsidRPr="001F7551">
        <w:rPr>
          <w:lang w:eastAsia="pl-PL"/>
        </w:rPr>
        <w:t>ścieżkę łączącą początkowy</w:t>
      </w:r>
      <w:r w:rsidR="001F7551" w:rsidRPr="001F7551">
        <w:rPr>
          <w:lang w:eastAsia="pl-PL"/>
        </w:rPr>
        <w:t xml:space="preserve"> i </w:t>
      </w:r>
      <w:r w:rsidRPr="001F7551">
        <w:rPr>
          <w:lang w:eastAsia="pl-PL"/>
        </w:rPr>
        <w:t>końcowy punkt macierzy kosztów, wra</w:t>
      </w:r>
      <w:r w:rsidR="001F7551" w:rsidRPr="001F7551">
        <w:rPr>
          <w:lang w:eastAsia="pl-PL"/>
        </w:rPr>
        <w:t>z z </w:t>
      </w:r>
      <w:r w:rsidRPr="001F7551">
        <w:rPr>
          <w:lang w:eastAsia="pl-PL"/>
        </w:rPr>
        <w:t>najniższym skumulowanym kosztem. Istotnym wyzwaniem DT</w:t>
      </w:r>
      <w:r w:rsidR="001F7551" w:rsidRPr="001F7551">
        <w:rPr>
          <w:lang w:eastAsia="pl-PL"/>
        </w:rPr>
        <w:t>W w </w:t>
      </w:r>
      <w:r w:rsidRPr="001F7551">
        <w:rPr>
          <w:lang w:eastAsia="pl-PL"/>
        </w:rPr>
        <w:t>efektywnym porównaniu ruchu jest metoda obliczania odległośc</w:t>
      </w:r>
      <w:r w:rsidR="001F7551" w:rsidRPr="001F7551">
        <w:rPr>
          <w:lang w:eastAsia="pl-PL"/>
        </w:rPr>
        <w:t xml:space="preserve">i pomiędzy </w:t>
      </w:r>
      <w:r w:rsidRPr="001F7551">
        <w:rPr>
          <w:lang w:eastAsia="pl-PL"/>
        </w:rPr>
        <w:t>kolejnym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ramkam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zawierającym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pozy. Poza jest reprezentowana poprze</w:t>
      </w:r>
      <w:r w:rsidR="001F7551" w:rsidRPr="001F7551">
        <w:rPr>
          <w:lang w:eastAsia="pl-PL"/>
        </w:rPr>
        <w:t xml:space="preserve">z </w:t>
      </w:r>
      <w:r w:rsidRPr="001F7551">
        <w:rPr>
          <w:lang w:eastAsia="pl-PL"/>
        </w:rPr>
        <w:t>rotacje kolejnych stawów. Bardziej elastyczną reprezentacją rotacj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jest użycie kwaternionó</w:t>
      </w:r>
      <w:r w:rsidR="001F7551" w:rsidRPr="001F7551">
        <w:rPr>
          <w:lang w:eastAsia="pl-PL"/>
        </w:rPr>
        <w:t xml:space="preserve">w </w:t>
      </w:r>
      <w:r w:rsidRPr="001F7551">
        <w:rPr>
          <w:lang w:eastAsia="pl-PL"/>
        </w:rPr>
        <w:t>jednostkowych. Istnieje wiele różnych funkcj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odległośc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zdefiniowan</w:t>
      </w:r>
      <w:r w:rsidR="002A70A1" w:rsidRPr="001F7551">
        <w:rPr>
          <w:lang w:eastAsia="pl-PL"/>
        </w:rPr>
        <w:t>ych</w:t>
      </w:r>
      <w:r w:rsidR="001F7551" w:rsidRPr="001F7551">
        <w:rPr>
          <w:lang w:eastAsia="pl-PL"/>
        </w:rPr>
        <w:t xml:space="preserve"> w </w:t>
      </w:r>
      <w:r w:rsidRPr="001F7551">
        <w:rPr>
          <w:lang w:eastAsia="pl-PL"/>
        </w:rPr>
        <w:t>przestrzen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kwaternionowej.</w:t>
      </w:r>
      <w:r w:rsidR="001F7551" w:rsidRPr="001F7551">
        <w:rPr>
          <w:lang w:eastAsia="pl-PL"/>
        </w:rPr>
        <w:t xml:space="preserve"> </w:t>
      </w:r>
      <w:r w:rsidR="0067435A">
        <w:rPr>
          <w:lang w:eastAsia="pl-PL"/>
        </w:rPr>
        <w:t>W</w:t>
      </w:r>
      <w:r w:rsidR="001F7551" w:rsidRPr="001F7551">
        <w:rPr>
          <w:lang w:eastAsia="pl-PL"/>
        </w:rPr>
        <w:t> </w:t>
      </w:r>
      <w:r w:rsidRPr="001F7551">
        <w:rPr>
          <w:lang w:eastAsia="pl-PL"/>
        </w:rPr>
        <w:t>pracy skupiono się na dwóch odległościach</w:t>
      </w:r>
      <w:r w:rsidR="00866025" w:rsidRPr="001F7551">
        <w:rPr>
          <w:lang w:eastAsia="pl-PL"/>
        </w:rPr>
        <w:t>,</w:t>
      </w:r>
      <w:r w:rsidRPr="001F7551">
        <w:rPr>
          <w:lang w:eastAsia="pl-PL"/>
        </w:rPr>
        <w:t xml:space="preserve"> gdzie pierwsza jest reprezentowana prze</w:t>
      </w:r>
      <w:r w:rsidR="001F7551" w:rsidRPr="001F7551">
        <w:rPr>
          <w:lang w:eastAsia="pl-PL"/>
        </w:rPr>
        <w:t xml:space="preserve">z </w:t>
      </w:r>
      <w:r w:rsidRPr="001F7551">
        <w:rPr>
          <w:lang w:eastAsia="pl-PL"/>
        </w:rPr>
        <w:t>kąt pomiędzy dwoma kwaternionami</w:t>
      </w:r>
      <w:r w:rsidR="002A70A1" w:rsidRPr="001F7551">
        <w:rPr>
          <w:lang w:eastAsia="pl-PL"/>
        </w:rPr>
        <w:t>, d</w:t>
      </w:r>
      <w:r w:rsidRPr="001F7551">
        <w:rPr>
          <w:lang w:eastAsia="pl-PL"/>
        </w:rPr>
        <w:t>ruga bazuje na odległośc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pomiędzy dwoma punktam</w:t>
      </w:r>
      <w:r w:rsidR="001F7551" w:rsidRPr="001F7551">
        <w:rPr>
          <w:lang w:eastAsia="pl-PL"/>
        </w:rPr>
        <w:t>i w </w:t>
      </w:r>
      <w:r w:rsidR="00DC46DD">
        <w:rPr>
          <w:lang w:eastAsia="pl-PL"/>
        </w:rPr>
        <w:t>przestrzeni trójwymiarowej</w:t>
      </w:r>
      <w:r w:rsidRPr="001F7551">
        <w:rPr>
          <w:lang w:eastAsia="pl-PL"/>
        </w:rPr>
        <w:t xml:space="preserve"> </w:t>
      </w:r>
      <w:r w:rsidR="00737771" w:rsidRPr="001F7551">
        <w:t>w</w:t>
      </w:r>
      <w:r w:rsidRPr="001F7551">
        <w:rPr>
          <w:lang w:eastAsia="pl-PL"/>
        </w:rPr>
        <w:t>yznaczonym</w:t>
      </w:r>
      <w:r w:rsidR="00737771" w:rsidRPr="001F7551">
        <w:rPr>
          <w:lang w:eastAsia="pl-PL"/>
        </w:rPr>
        <w:t xml:space="preserve">i </w:t>
      </w:r>
      <w:r w:rsidRPr="001F7551">
        <w:rPr>
          <w:lang w:eastAsia="pl-PL"/>
        </w:rPr>
        <w:t>prze</w:t>
      </w:r>
      <w:r w:rsidR="001F7551" w:rsidRPr="001F7551">
        <w:rPr>
          <w:lang w:eastAsia="pl-PL"/>
        </w:rPr>
        <w:t xml:space="preserve">z </w:t>
      </w:r>
      <w:r w:rsidRPr="001F7551">
        <w:rPr>
          <w:lang w:eastAsia="pl-PL"/>
        </w:rPr>
        <w:t>logarytm dwóch kwaternionów.  </w:t>
      </w:r>
    </w:p>
    <w:p w:rsidR="00E131CA" w:rsidRPr="001F7551" w:rsidRDefault="00E131CA" w:rsidP="001F7551">
      <w:pPr>
        <w:pStyle w:val="NoSpacing"/>
        <w:jc w:val="both"/>
        <w:rPr>
          <w:lang w:eastAsia="pl-PL"/>
        </w:rPr>
      </w:pPr>
      <w:r w:rsidRPr="001F7551">
        <w:rPr>
          <w:lang w:eastAsia="pl-PL"/>
        </w:rPr>
        <w:t>Eksperyment przeprowadzono dwukrotnie,</w:t>
      </w:r>
      <w:r w:rsidR="001F7551" w:rsidRPr="001F7551">
        <w:rPr>
          <w:lang w:eastAsia="pl-PL"/>
        </w:rPr>
        <w:t xml:space="preserve"> w </w:t>
      </w:r>
      <w:r w:rsidRPr="001F7551">
        <w:rPr>
          <w:lang w:eastAsia="pl-PL"/>
        </w:rPr>
        <w:t>pierwszym eksperymencie wybrano dla każdego</w:t>
      </w:r>
      <w:r w:rsidR="001F7551" w:rsidRPr="001F7551">
        <w:rPr>
          <w:lang w:eastAsia="pl-PL"/>
        </w:rPr>
        <w:t xml:space="preserve"> z </w:t>
      </w:r>
      <w:r w:rsidRPr="001F7551">
        <w:rPr>
          <w:lang w:eastAsia="pl-PL"/>
        </w:rPr>
        <w:t>20 pacjentó</w:t>
      </w:r>
      <w:r w:rsidR="001F7551" w:rsidRPr="001F7551">
        <w:rPr>
          <w:lang w:eastAsia="pl-PL"/>
        </w:rPr>
        <w:t xml:space="preserve">w </w:t>
      </w:r>
      <w:r w:rsidRPr="001F7551">
        <w:rPr>
          <w:lang w:eastAsia="pl-PL"/>
        </w:rPr>
        <w:t>jeden cykl przejścia.</w:t>
      </w:r>
      <w:r w:rsidR="005F4268">
        <w:rPr>
          <w:lang w:eastAsia="pl-PL"/>
        </w:rPr>
        <w:t xml:space="preserve"> W</w:t>
      </w:r>
      <w:r w:rsidR="001F7551" w:rsidRPr="001F7551">
        <w:rPr>
          <w:lang w:eastAsia="pl-PL"/>
        </w:rPr>
        <w:t> </w:t>
      </w:r>
      <w:r w:rsidR="005F4268">
        <w:rPr>
          <w:lang w:eastAsia="pl-PL"/>
        </w:rPr>
        <w:t>drugim,</w:t>
      </w:r>
      <w:r w:rsidRPr="001F7551">
        <w:rPr>
          <w:lang w:eastAsia="pl-PL"/>
        </w:rPr>
        <w:t xml:space="preserve"> dwa cykle </w:t>
      </w:r>
      <w:r w:rsidR="005F4268">
        <w:rPr>
          <w:lang w:eastAsia="pl-PL"/>
        </w:rPr>
        <w:t xml:space="preserve">główne </w:t>
      </w:r>
      <w:r w:rsidR="001F7551" w:rsidRPr="001F7551">
        <w:rPr>
          <w:lang w:eastAsia="pl-PL"/>
        </w:rPr>
        <w:t>z </w:t>
      </w:r>
      <w:r w:rsidR="005F4268">
        <w:rPr>
          <w:lang w:eastAsia="pl-PL"/>
        </w:rPr>
        <w:t>różnych przejść,</w:t>
      </w:r>
      <w:r w:rsidRPr="001F7551">
        <w:rPr>
          <w:lang w:eastAsia="pl-PL"/>
        </w:rPr>
        <w:t xml:space="preserve"> gdzie maksymalnie 25% sekwencj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 xml:space="preserve">ze zbioru pierwszego należało również do zbioru drugiego. </w:t>
      </w:r>
    </w:p>
    <w:p w:rsidR="00E131CA" w:rsidRPr="001F7551" w:rsidRDefault="00E131CA" w:rsidP="001F7551">
      <w:pPr>
        <w:pStyle w:val="NoSpacing"/>
        <w:jc w:val="both"/>
        <w:rPr>
          <w:lang w:eastAsia="pl-PL"/>
        </w:rPr>
      </w:pPr>
      <w:r w:rsidRPr="001F7551">
        <w:rPr>
          <w:lang w:eastAsia="pl-PL"/>
        </w:rPr>
        <w:t> </w:t>
      </w:r>
    </w:p>
    <w:p w:rsidR="00E131CA" w:rsidRPr="001F7551" w:rsidRDefault="00E131CA" w:rsidP="001F7551">
      <w:pPr>
        <w:pStyle w:val="NoSpacing"/>
        <w:jc w:val="both"/>
        <w:rPr>
          <w:lang w:eastAsia="pl-PL"/>
        </w:rPr>
      </w:pPr>
      <w:r w:rsidRPr="001F7551">
        <w:rPr>
          <w:lang w:eastAsia="pl-PL"/>
        </w:rPr>
        <w:lastRenderedPageBreak/>
        <w:t>WYNIK</w:t>
      </w:r>
      <w:r w:rsidR="005F4268">
        <w:rPr>
          <w:lang w:eastAsia="pl-PL"/>
        </w:rPr>
        <w:t>I</w:t>
      </w:r>
    </w:p>
    <w:p w:rsidR="00E131CA" w:rsidRPr="001F7551" w:rsidRDefault="00E131CA" w:rsidP="001F7551">
      <w:pPr>
        <w:pStyle w:val="NoSpacing"/>
        <w:jc w:val="both"/>
        <w:rPr>
          <w:lang w:eastAsia="pl-PL"/>
        </w:rPr>
      </w:pPr>
      <w:r w:rsidRPr="001F7551">
        <w:rPr>
          <w:lang w:eastAsia="pl-PL"/>
        </w:rPr>
        <w:t>Ranking stawó</w:t>
      </w:r>
      <w:r w:rsidR="001F7551" w:rsidRPr="001F7551">
        <w:rPr>
          <w:lang w:eastAsia="pl-PL"/>
        </w:rPr>
        <w:t xml:space="preserve">w </w:t>
      </w:r>
      <w:r w:rsidRPr="001F7551">
        <w:rPr>
          <w:lang w:eastAsia="pl-PL"/>
        </w:rPr>
        <w:t>zbudowany został na dwóch miarach podobieństwa. Pierwsza miara D1 bazująca na stosunku  odległośc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średnio klasowej do średniej odległośc</w:t>
      </w:r>
      <w:r w:rsidR="001F7551" w:rsidRPr="001F7551">
        <w:rPr>
          <w:lang w:eastAsia="pl-PL"/>
        </w:rPr>
        <w:t>i w </w:t>
      </w:r>
      <w:r w:rsidRPr="001F7551">
        <w:rPr>
          <w:lang w:eastAsia="pl-PL"/>
        </w:rPr>
        <w:t>całym zbiorze pozwala na znalezienie różnic pomiędzy grupą zdrowych osób</w:t>
      </w:r>
      <w:r w:rsidR="001F7551" w:rsidRPr="001F7551">
        <w:rPr>
          <w:lang w:eastAsia="pl-PL"/>
        </w:rPr>
        <w:t xml:space="preserve"> i </w:t>
      </w:r>
      <w:r w:rsidRPr="001F7551">
        <w:rPr>
          <w:lang w:eastAsia="pl-PL"/>
        </w:rPr>
        <w:t>osób chorych, gdzie różnice</w:t>
      </w:r>
      <w:r w:rsidR="001F7551" w:rsidRPr="001F7551">
        <w:rPr>
          <w:lang w:eastAsia="pl-PL"/>
        </w:rPr>
        <w:t xml:space="preserve"> w </w:t>
      </w:r>
      <w:r w:rsidRPr="001F7551">
        <w:rPr>
          <w:lang w:eastAsia="pl-PL"/>
        </w:rPr>
        <w:t>obu grupach są niewielkie. Druga miara D2 to stosunek średniej odległośc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osób chorych do średniej odległośc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 xml:space="preserve">osób zdrowych, pozwala na </w:t>
      </w:r>
      <w:r w:rsidR="005F4268">
        <w:rPr>
          <w:lang w:eastAsia="pl-PL"/>
        </w:rPr>
        <w:t>określenie</w:t>
      </w:r>
      <w:r w:rsidRPr="001F7551">
        <w:rPr>
          <w:lang w:eastAsia="pl-PL"/>
        </w:rPr>
        <w:t xml:space="preserve"> różnic pomiędzy dwoma grupam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przy założeniu, że</w:t>
      </w:r>
      <w:r w:rsidR="001F7551" w:rsidRPr="001F7551">
        <w:rPr>
          <w:lang w:eastAsia="pl-PL"/>
        </w:rPr>
        <w:t xml:space="preserve"> w </w:t>
      </w:r>
      <w:r w:rsidRPr="001F7551">
        <w:rPr>
          <w:lang w:eastAsia="pl-PL"/>
        </w:rPr>
        <w:t>grupie osób zdrowych różnice są niewielkie, natomiast wśród osób chorych zaobserwowano duże dysproporcje.  </w:t>
      </w:r>
    </w:p>
    <w:p w:rsidR="00E131CA" w:rsidRPr="001F7551" w:rsidRDefault="00E131CA" w:rsidP="001F7551">
      <w:pPr>
        <w:pStyle w:val="NoSpacing"/>
        <w:jc w:val="both"/>
        <w:rPr>
          <w:lang w:eastAsia="pl-PL"/>
        </w:rPr>
      </w:pPr>
      <w:r w:rsidRPr="001F7551">
        <w:rPr>
          <w:lang w:eastAsia="pl-PL"/>
        </w:rPr>
        <w:t>Ranking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okolic stawó</w:t>
      </w:r>
      <w:r w:rsidR="001F7551" w:rsidRPr="001F7551">
        <w:rPr>
          <w:lang w:eastAsia="pl-PL"/>
        </w:rPr>
        <w:t xml:space="preserve">w </w:t>
      </w:r>
      <w:r w:rsidRPr="001F7551">
        <w:rPr>
          <w:lang w:eastAsia="pl-PL"/>
        </w:rPr>
        <w:t>dla różnych miar odległośc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k</w:t>
      </w:r>
      <w:r w:rsidR="002A70A1" w:rsidRPr="001F7551">
        <w:rPr>
          <w:lang w:eastAsia="pl-PL"/>
        </w:rPr>
        <w:t xml:space="preserve">waternionowych są analogiczne </w:t>
      </w:r>
      <w:r w:rsidRPr="001F7551">
        <w:rPr>
          <w:lang w:eastAsia="pl-PL"/>
        </w:rPr>
        <w:t>dla obu eksperymentó</w:t>
      </w:r>
      <w:r w:rsidR="001F7551" w:rsidRPr="001F7551">
        <w:rPr>
          <w:lang w:eastAsia="pl-PL"/>
        </w:rPr>
        <w:t xml:space="preserve">w </w:t>
      </w:r>
      <w:r w:rsidRPr="001F7551">
        <w:rPr>
          <w:lang w:eastAsia="pl-PL"/>
        </w:rPr>
        <w:t>różniących się liczebnością sekwencj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 xml:space="preserve">przejścia. </w:t>
      </w:r>
    </w:p>
    <w:p w:rsidR="002A70A1" w:rsidRPr="001F7551" w:rsidRDefault="002A70A1" w:rsidP="001F7551">
      <w:pPr>
        <w:pStyle w:val="NoSpacing"/>
        <w:jc w:val="both"/>
        <w:rPr>
          <w:lang w:eastAsia="pl-PL"/>
        </w:rPr>
      </w:pPr>
    </w:p>
    <w:p w:rsidR="00E131CA" w:rsidRPr="001F7551" w:rsidRDefault="00E131CA" w:rsidP="001F7551">
      <w:pPr>
        <w:pStyle w:val="NoSpacing"/>
        <w:jc w:val="both"/>
        <w:rPr>
          <w:lang w:eastAsia="pl-PL"/>
        </w:rPr>
      </w:pPr>
      <w:r w:rsidRPr="001F7551">
        <w:rPr>
          <w:lang w:eastAsia="pl-PL"/>
        </w:rPr>
        <w:t>DYSKUSJA</w:t>
      </w:r>
    </w:p>
    <w:p w:rsidR="00E131CA" w:rsidRPr="001F7551" w:rsidRDefault="00E131CA" w:rsidP="001F7551">
      <w:pPr>
        <w:pStyle w:val="NoSpacing"/>
        <w:jc w:val="both"/>
        <w:rPr>
          <w:lang w:eastAsia="pl-PL"/>
        </w:rPr>
      </w:pPr>
      <w:r w:rsidRPr="001F7551">
        <w:rPr>
          <w:lang w:eastAsia="pl-PL"/>
        </w:rPr>
        <w:t xml:space="preserve">Dla osób po udarze mózgu największe podobieństwo wśród </w:t>
      </w:r>
      <w:r w:rsidR="005F4268">
        <w:rPr>
          <w:lang w:eastAsia="pl-PL"/>
        </w:rPr>
        <w:t>badanej</w:t>
      </w:r>
      <w:r w:rsidRPr="001F7551">
        <w:rPr>
          <w:lang w:eastAsia="pl-PL"/>
        </w:rPr>
        <w:t xml:space="preserve"> grupy chorych</w:t>
      </w:r>
      <w:r w:rsidR="00866025" w:rsidRPr="001F7551">
        <w:rPr>
          <w:lang w:eastAsia="pl-PL"/>
        </w:rPr>
        <w:t>,</w:t>
      </w:r>
      <w:r w:rsidRPr="001F7551">
        <w:rPr>
          <w:lang w:eastAsia="pl-PL"/>
        </w:rPr>
        <w:t xml:space="preserve"> które jednocześnie odróżnia ich od grupy zdrowych to okolice stawu kolanowego (tibia), okolice kręgu T</w:t>
      </w:r>
      <w:r w:rsidR="000C22A1">
        <w:rPr>
          <w:lang w:eastAsia="pl-PL"/>
        </w:rPr>
        <w:t>h</w:t>
      </w:r>
      <w:r w:rsidRPr="001F7551">
        <w:rPr>
          <w:lang w:eastAsia="pl-PL"/>
        </w:rPr>
        <w:t>12 (upperback), miednica określana jako globalna rotacja szkieletu (root) ora</w:t>
      </w:r>
      <w:r w:rsidR="001F7551" w:rsidRPr="001F7551">
        <w:rPr>
          <w:lang w:eastAsia="pl-PL"/>
        </w:rPr>
        <w:t xml:space="preserve">z </w:t>
      </w:r>
      <w:r w:rsidRPr="001F7551">
        <w:rPr>
          <w:lang w:eastAsia="pl-PL"/>
        </w:rPr>
        <w:t>głowa (head). Największe różnice</w:t>
      </w:r>
      <w:r w:rsidR="001F7551" w:rsidRPr="001F7551">
        <w:rPr>
          <w:lang w:eastAsia="pl-PL"/>
        </w:rPr>
        <w:t xml:space="preserve"> w </w:t>
      </w:r>
      <w:r w:rsidRPr="001F7551">
        <w:rPr>
          <w:lang w:eastAsia="pl-PL"/>
        </w:rPr>
        <w:t>tej grupie chorych są scharakteryzowane prze</w:t>
      </w:r>
      <w:r w:rsidR="001F7551" w:rsidRPr="001F7551">
        <w:rPr>
          <w:lang w:eastAsia="pl-PL"/>
        </w:rPr>
        <w:t xml:space="preserve">z </w:t>
      </w:r>
      <w:r w:rsidRPr="001F7551">
        <w:rPr>
          <w:lang w:eastAsia="pl-PL"/>
        </w:rPr>
        <w:t xml:space="preserve">rotację </w:t>
      </w:r>
      <w:r w:rsidR="000C22A1">
        <w:rPr>
          <w:lang w:eastAsia="pl-PL"/>
        </w:rPr>
        <w:t>ręki</w:t>
      </w:r>
      <w:r w:rsidRPr="001F7551">
        <w:rPr>
          <w:lang w:eastAsia="pl-PL"/>
        </w:rPr>
        <w:t>.</w:t>
      </w:r>
    </w:p>
    <w:p w:rsidR="00E131CA" w:rsidRPr="001F7551" w:rsidRDefault="00E131CA" w:rsidP="001F7551">
      <w:pPr>
        <w:pStyle w:val="NoSpacing"/>
        <w:jc w:val="both"/>
        <w:rPr>
          <w:lang w:eastAsia="pl-PL"/>
        </w:rPr>
      </w:pPr>
      <w:r w:rsidRPr="001F7551">
        <w:rPr>
          <w:lang w:eastAsia="pl-PL"/>
        </w:rPr>
        <w:t> 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491"/>
        <w:gridCol w:w="1567"/>
        <w:gridCol w:w="1492"/>
        <w:gridCol w:w="1567"/>
        <w:gridCol w:w="1492"/>
        <w:gridCol w:w="1565"/>
      </w:tblGrid>
      <w:tr w:rsidR="002A70A1" w:rsidRPr="001F7551" w:rsidTr="001F7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Udar</w:t>
            </w:r>
          </w:p>
        </w:tc>
        <w:tc>
          <w:tcPr>
            <w:tcW w:w="1667" w:type="pct"/>
            <w:gridSpan w:val="2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Endoproteza stawu biodrowego</w:t>
            </w:r>
          </w:p>
        </w:tc>
        <w:tc>
          <w:tcPr>
            <w:tcW w:w="1666" w:type="pct"/>
            <w:gridSpan w:val="2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Zwyrodnienie kręgosłupa</w:t>
            </w:r>
          </w:p>
        </w:tc>
      </w:tr>
      <w:tr w:rsidR="002A70A1" w:rsidRPr="001F7551" w:rsidTr="001F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D1</w:t>
            </w:r>
          </w:p>
        </w:tc>
        <w:tc>
          <w:tcPr>
            <w:tcW w:w="854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pl-PL"/>
              </w:rPr>
            </w:pPr>
            <w:r w:rsidRPr="001F7551">
              <w:rPr>
                <w:b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81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pl-PL"/>
              </w:rPr>
            </w:pPr>
            <w:r w:rsidRPr="001F7551">
              <w:rPr>
                <w:b/>
                <w:bCs/>
                <w:sz w:val="20"/>
                <w:szCs w:val="20"/>
                <w:lang w:eastAsia="pl-PL"/>
              </w:rPr>
              <w:t>D1</w:t>
            </w:r>
          </w:p>
        </w:tc>
        <w:tc>
          <w:tcPr>
            <w:tcW w:w="854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pl-PL"/>
              </w:rPr>
            </w:pPr>
            <w:r w:rsidRPr="001F7551">
              <w:rPr>
                <w:b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81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pl-PL"/>
              </w:rPr>
            </w:pPr>
            <w:r w:rsidRPr="001F7551">
              <w:rPr>
                <w:b/>
                <w:bCs/>
                <w:sz w:val="20"/>
                <w:szCs w:val="20"/>
                <w:lang w:eastAsia="pl-PL"/>
              </w:rPr>
              <w:t>D1</w:t>
            </w:r>
          </w:p>
        </w:tc>
        <w:tc>
          <w:tcPr>
            <w:tcW w:w="85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pl-PL"/>
              </w:rPr>
            </w:pPr>
            <w:r w:rsidRPr="001F7551">
              <w:rPr>
                <w:b/>
                <w:sz w:val="20"/>
                <w:szCs w:val="20"/>
                <w:lang w:eastAsia="pl-PL"/>
              </w:rPr>
              <w:t>D2</w:t>
            </w:r>
          </w:p>
        </w:tc>
      </w:tr>
      <w:tr w:rsidR="002A70A1" w:rsidRPr="001F7551" w:rsidTr="001F7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rPr>
                <w:b w:val="0"/>
                <w:sz w:val="20"/>
                <w:szCs w:val="20"/>
                <w:lang w:eastAsia="pl-PL"/>
              </w:rPr>
            </w:pPr>
            <w:r w:rsidRPr="001F7551">
              <w:rPr>
                <w:b w:val="0"/>
                <w:sz w:val="20"/>
                <w:szCs w:val="20"/>
                <w:lang w:eastAsia="pl-PL"/>
              </w:rPr>
              <w:t>Ltibia</w:t>
            </w:r>
          </w:p>
        </w:tc>
        <w:tc>
          <w:tcPr>
            <w:tcW w:w="854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RWirst</w:t>
            </w:r>
          </w:p>
        </w:tc>
        <w:tc>
          <w:tcPr>
            <w:tcW w:w="81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Upperback</w:t>
            </w:r>
          </w:p>
        </w:tc>
        <w:tc>
          <w:tcPr>
            <w:tcW w:w="854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Ltibia</w:t>
            </w:r>
          </w:p>
        </w:tc>
        <w:tc>
          <w:tcPr>
            <w:tcW w:w="81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Ltibia</w:t>
            </w:r>
          </w:p>
        </w:tc>
        <w:tc>
          <w:tcPr>
            <w:tcW w:w="85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Root</w:t>
            </w:r>
          </w:p>
        </w:tc>
      </w:tr>
      <w:tr w:rsidR="002A70A1" w:rsidRPr="001F7551" w:rsidTr="001F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rPr>
                <w:b w:val="0"/>
                <w:sz w:val="20"/>
                <w:szCs w:val="20"/>
                <w:lang w:eastAsia="pl-PL"/>
              </w:rPr>
            </w:pPr>
            <w:r w:rsidRPr="001F7551">
              <w:rPr>
                <w:b w:val="0"/>
                <w:sz w:val="20"/>
                <w:szCs w:val="20"/>
                <w:lang w:eastAsia="pl-PL"/>
              </w:rPr>
              <w:t>Upperback</w:t>
            </w:r>
          </w:p>
        </w:tc>
        <w:tc>
          <w:tcPr>
            <w:tcW w:w="854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Rhand</w:t>
            </w:r>
          </w:p>
        </w:tc>
        <w:tc>
          <w:tcPr>
            <w:tcW w:w="81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Root</w:t>
            </w:r>
          </w:p>
        </w:tc>
        <w:tc>
          <w:tcPr>
            <w:tcW w:w="854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Rfemur</w:t>
            </w:r>
          </w:p>
        </w:tc>
        <w:tc>
          <w:tcPr>
            <w:tcW w:w="81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Lowerneck</w:t>
            </w:r>
          </w:p>
        </w:tc>
        <w:tc>
          <w:tcPr>
            <w:tcW w:w="85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Rtibia</w:t>
            </w:r>
          </w:p>
        </w:tc>
      </w:tr>
      <w:tr w:rsidR="002A70A1" w:rsidRPr="001F7551" w:rsidTr="001F7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rPr>
                <w:b w:val="0"/>
                <w:sz w:val="20"/>
                <w:szCs w:val="20"/>
                <w:lang w:eastAsia="pl-PL"/>
              </w:rPr>
            </w:pPr>
            <w:r w:rsidRPr="001F7551">
              <w:rPr>
                <w:b w:val="0"/>
                <w:sz w:val="20"/>
                <w:szCs w:val="20"/>
                <w:lang w:eastAsia="pl-PL"/>
              </w:rPr>
              <w:t>Root</w:t>
            </w:r>
          </w:p>
        </w:tc>
        <w:tc>
          <w:tcPr>
            <w:tcW w:w="854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Lwirst</w:t>
            </w:r>
          </w:p>
        </w:tc>
        <w:tc>
          <w:tcPr>
            <w:tcW w:w="81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Rfemur</w:t>
            </w:r>
          </w:p>
        </w:tc>
        <w:tc>
          <w:tcPr>
            <w:tcW w:w="854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Root</w:t>
            </w:r>
          </w:p>
        </w:tc>
        <w:tc>
          <w:tcPr>
            <w:tcW w:w="81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Lowerback</w:t>
            </w:r>
          </w:p>
        </w:tc>
        <w:tc>
          <w:tcPr>
            <w:tcW w:w="85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Lfemur</w:t>
            </w:r>
          </w:p>
        </w:tc>
      </w:tr>
      <w:tr w:rsidR="002A70A1" w:rsidRPr="001F7551" w:rsidTr="001F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rPr>
                <w:b w:val="0"/>
                <w:sz w:val="20"/>
                <w:szCs w:val="20"/>
                <w:lang w:eastAsia="pl-PL"/>
              </w:rPr>
            </w:pPr>
            <w:r w:rsidRPr="001F7551">
              <w:rPr>
                <w:b w:val="0"/>
                <w:sz w:val="20"/>
                <w:szCs w:val="20"/>
                <w:lang w:eastAsia="pl-PL"/>
              </w:rPr>
              <w:t>Head</w:t>
            </w:r>
          </w:p>
        </w:tc>
        <w:tc>
          <w:tcPr>
            <w:tcW w:w="854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Lhand</w:t>
            </w:r>
          </w:p>
        </w:tc>
        <w:tc>
          <w:tcPr>
            <w:tcW w:w="81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Rhumerus</w:t>
            </w:r>
          </w:p>
        </w:tc>
        <w:tc>
          <w:tcPr>
            <w:tcW w:w="854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LFoot</w:t>
            </w:r>
          </w:p>
        </w:tc>
        <w:tc>
          <w:tcPr>
            <w:tcW w:w="81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Upperback</w:t>
            </w:r>
          </w:p>
        </w:tc>
        <w:tc>
          <w:tcPr>
            <w:tcW w:w="853" w:type="pct"/>
            <w:vAlign w:val="center"/>
            <w:hideMark/>
          </w:tcPr>
          <w:p w:rsidR="00E131CA" w:rsidRPr="001F7551" w:rsidRDefault="00E131CA" w:rsidP="001F7551">
            <w:pPr>
              <w:pStyle w:val="NoSpacing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1F7551">
              <w:rPr>
                <w:sz w:val="20"/>
                <w:szCs w:val="20"/>
                <w:lang w:eastAsia="pl-PL"/>
              </w:rPr>
              <w:t>RFemur</w:t>
            </w:r>
          </w:p>
        </w:tc>
      </w:tr>
    </w:tbl>
    <w:p w:rsidR="001F7551" w:rsidRPr="001F7551" w:rsidRDefault="001F7551" w:rsidP="001F7551">
      <w:pPr>
        <w:pStyle w:val="Caption"/>
        <w:jc w:val="center"/>
        <w:rPr>
          <w:sz w:val="20"/>
          <w:szCs w:val="20"/>
        </w:rPr>
      </w:pPr>
      <w:r w:rsidRPr="001F7551">
        <w:rPr>
          <w:sz w:val="20"/>
          <w:szCs w:val="20"/>
        </w:rPr>
        <w:t xml:space="preserve">Tabela </w:t>
      </w:r>
      <w:r w:rsidRPr="001F7551">
        <w:rPr>
          <w:sz w:val="20"/>
          <w:szCs w:val="20"/>
        </w:rPr>
        <w:fldChar w:fldCharType="begin"/>
      </w:r>
      <w:r w:rsidRPr="001F7551">
        <w:rPr>
          <w:sz w:val="20"/>
          <w:szCs w:val="20"/>
        </w:rPr>
        <w:instrText xml:space="preserve"> SEQ Tabela \* ARABIC </w:instrText>
      </w:r>
      <w:r w:rsidRPr="001F7551">
        <w:rPr>
          <w:sz w:val="20"/>
          <w:szCs w:val="20"/>
        </w:rPr>
        <w:fldChar w:fldCharType="separate"/>
      </w:r>
      <w:r w:rsidRPr="001F7551">
        <w:rPr>
          <w:noProof/>
          <w:sz w:val="20"/>
          <w:szCs w:val="20"/>
        </w:rPr>
        <w:t>1</w:t>
      </w:r>
      <w:r w:rsidRPr="001F7551">
        <w:rPr>
          <w:sz w:val="20"/>
          <w:szCs w:val="20"/>
        </w:rPr>
        <w:fldChar w:fldCharType="end"/>
      </w:r>
      <w:r w:rsidRPr="001F7551">
        <w:rPr>
          <w:sz w:val="20"/>
          <w:szCs w:val="20"/>
        </w:rPr>
        <w:t>: Najbardziej charakterystyczne okolice stawów z podziałem na jednostki chorobowe.</w:t>
      </w:r>
    </w:p>
    <w:p w:rsidR="000C22A1" w:rsidRPr="000C22A1" w:rsidRDefault="00E131CA" w:rsidP="00A35EBE">
      <w:pPr>
        <w:pStyle w:val="NoSpacing"/>
        <w:jc w:val="both"/>
        <w:rPr>
          <w:color w:val="000000" w:themeColor="text1"/>
          <w:lang w:eastAsia="pl-PL"/>
        </w:rPr>
      </w:pPr>
      <w:r w:rsidRPr="001F7551">
        <w:rPr>
          <w:lang w:eastAsia="pl-PL"/>
        </w:rPr>
        <w:t>Dla osób po endoprotezie stawu biodrowego najbardziej charakterystyczne są okolice wzdłuż łańcucha biokinematycznego kończyny dolnej (okolice stawu biodrowego, stawu kolanowego ora</w:t>
      </w:r>
      <w:r w:rsidR="001F7551" w:rsidRPr="001F7551">
        <w:rPr>
          <w:lang w:eastAsia="pl-PL"/>
        </w:rPr>
        <w:t xml:space="preserve">z </w:t>
      </w:r>
      <w:r w:rsidRPr="001F7551">
        <w:rPr>
          <w:lang w:eastAsia="pl-PL"/>
        </w:rPr>
        <w:t>stopy).</w:t>
      </w:r>
      <w:r w:rsidR="001F7551" w:rsidRPr="001F7551">
        <w:rPr>
          <w:lang w:eastAsia="pl-PL"/>
        </w:rPr>
        <w:t xml:space="preserve"> </w:t>
      </w:r>
      <w:r w:rsidR="0067435A">
        <w:rPr>
          <w:lang w:eastAsia="pl-PL"/>
        </w:rPr>
        <w:t>W</w:t>
      </w:r>
      <w:r w:rsidR="001F7551" w:rsidRPr="001F7551">
        <w:rPr>
          <w:lang w:eastAsia="pl-PL"/>
        </w:rPr>
        <w:t> </w:t>
      </w:r>
      <w:r w:rsidRPr="001F7551">
        <w:rPr>
          <w:lang w:eastAsia="pl-PL"/>
        </w:rPr>
        <w:t>naszej grupie osób</w:t>
      </w:r>
      <w:r w:rsidR="001F7551" w:rsidRPr="001F7551">
        <w:rPr>
          <w:lang w:eastAsia="pl-PL"/>
        </w:rPr>
        <w:t xml:space="preserve"> z </w:t>
      </w:r>
      <w:r w:rsidRPr="001F7551">
        <w:rPr>
          <w:lang w:eastAsia="pl-PL"/>
        </w:rPr>
        <w:t>zwyrodnieniem kręgosłupa zaobserwować można największe podobieństwo dla kręgosłupa, począwszy od okolic mostka (lowerneck) do odcinka lędźwiowego kręgosłupa włącznie (lowerback).</w:t>
      </w:r>
      <w:r w:rsidR="0045425F">
        <w:rPr>
          <w:lang w:eastAsia="pl-PL"/>
        </w:rPr>
        <w:t xml:space="preserve"> W</w:t>
      </w:r>
      <w:bookmarkStart w:id="0" w:name="_GoBack"/>
      <w:bookmarkEnd w:id="0"/>
      <w:r w:rsidR="001F7551" w:rsidRPr="001F7551">
        <w:rPr>
          <w:lang w:eastAsia="pl-PL"/>
        </w:rPr>
        <w:t> </w:t>
      </w:r>
      <w:r w:rsidRPr="001F7551">
        <w:rPr>
          <w:lang w:eastAsia="pl-PL"/>
        </w:rPr>
        <w:t>grupie tej nie znalazły się okolice odcinka  piersiowego kręgosłupa, gdyż zaobserwowano podobne średnie odległośc</w:t>
      </w:r>
      <w:r w:rsidR="001F7551" w:rsidRPr="001F7551">
        <w:rPr>
          <w:lang w:eastAsia="pl-PL"/>
        </w:rPr>
        <w:t xml:space="preserve">i </w:t>
      </w:r>
      <w:r w:rsidR="00737771" w:rsidRPr="001F7551">
        <w:rPr>
          <w:lang w:eastAsia="pl-PL"/>
        </w:rPr>
        <w:t xml:space="preserve">wśród osób </w:t>
      </w:r>
      <w:r w:rsidRPr="001F7551">
        <w:rPr>
          <w:lang w:eastAsia="pl-PL"/>
        </w:rPr>
        <w:t>zdrowych. Charakterystycznym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okolicam</w:t>
      </w:r>
      <w:r w:rsidR="001F7551" w:rsidRPr="001F7551">
        <w:rPr>
          <w:lang w:eastAsia="pl-PL"/>
        </w:rPr>
        <w:t xml:space="preserve">i </w:t>
      </w:r>
      <w:r w:rsidRPr="001F7551">
        <w:rPr>
          <w:lang w:eastAsia="pl-PL"/>
        </w:rPr>
        <w:t>jest również sta</w:t>
      </w:r>
      <w:r w:rsidR="001F7551" w:rsidRPr="001F7551">
        <w:rPr>
          <w:lang w:eastAsia="pl-PL"/>
        </w:rPr>
        <w:t xml:space="preserve">w </w:t>
      </w:r>
      <w:r w:rsidRPr="000C22A1">
        <w:rPr>
          <w:color w:val="000000" w:themeColor="text1"/>
          <w:lang w:eastAsia="pl-PL"/>
        </w:rPr>
        <w:t>biodrowy</w:t>
      </w:r>
      <w:r w:rsidR="001F7551" w:rsidRPr="000C22A1">
        <w:rPr>
          <w:color w:val="000000" w:themeColor="text1"/>
          <w:lang w:eastAsia="pl-PL"/>
        </w:rPr>
        <w:t xml:space="preserve"> i </w:t>
      </w:r>
      <w:r w:rsidRPr="000C22A1">
        <w:rPr>
          <w:color w:val="000000" w:themeColor="text1"/>
          <w:lang w:eastAsia="pl-PL"/>
        </w:rPr>
        <w:t>kolanowy</w:t>
      </w:r>
      <w:r w:rsidR="0092077A" w:rsidRPr="000C22A1">
        <w:rPr>
          <w:color w:val="000000" w:themeColor="text1"/>
          <w:lang w:eastAsia="pl-PL"/>
        </w:rPr>
        <w:t>,</w:t>
      </w:r>
      <w:r w:rsidRPr="000C22A1">
        <w:rPr>
          <w:color w:val="000000" w:themeColor="text1"/>
          <w:lang w:eastAsia="pl-PL"/>
        </w:rPr>
        <w:t xml:space="preserve"> </w:t>
      </w:r>
      <w:r w:rsidR="000C22A1" w:rsidRPr="000C22A1">
        <w:rPr>
          <w:color w:val="000000" w:themeColor="text1"/>
          <w:lang w:eastAsia="pl-PL"/>
        </w:rPr>
        <w:t xml:space="preserve">co wskazuje na zmiany towarzyszące   zwyrodnieniom  kręgosłupa w tych stawach. </w:t>
      </w:r>
    </w:p>
    <w:p w:rsidR="00E131CA" w:rsidRPr="001F7551" w:rsidRDefault="001F7551" w:rsidP="00A35EBE">
      <w:pPr>
        <w:pStyle w:val="NoSpacing"/>
        <w:jc w:val="both"/>
        <w:rPr>
          <w:lang w:eastAsia="pl-PL"/>
        </w:rPr>
      </w:pPr>
      <w:r w:rsidRPr="001F7551">
        <w:rPr>
          <w:lang w:eastAsia="pl-PL"/>
        </w:rPr>
        <w:t xml:space="preserve">W </w:t>
      </w:r>
      <w:r w:rsidR="00E131CA" w:rsidRPr="001F7551">
        <w:rPr>
          <w:lang w:eastAsia="pl-PL"/>
        </w:rPr>
        <w:t>przeprowadzonych eksperymentach należy zwrócić uwagę na okolice kręgu T</w:t>
      </w:r>
      <w:r w:rsidR="000C22A1">
        <w:rPr>
          <w:lang w:eastAsia="pl-PL"/>
        </w:rPr>
        <w:t>h</w:t>
      </w:r>
      <w:r w:rsidR="00E131CA" w:rsidRPr="001F7551">
        <w:rPr>
          <w:lang w:eastAsia="pl-PL"/>
        </w:rPr>
        <w:t>12 (upperback), który graniczy</w:t>
      </w:r>
      <w:r w:rsidRPr="001F7551">
        <w:rPr>
          <w:lang w:eastAsia="pl-PL"/>
        </w:rPr>
        <w:t xml:space="preserve"> z </w:t>
      </w:r>
      <w:r w:rsidR="00E131CA" w:rsidRPr="001F7551">
        <w:rPr>
          <w:lang w:eastAsia="pl-PL"/>
        </w:rPr>
        <w:t xml:space="preserve">ruchomym odcinkiem lędźwiowym. </w:t>
      </w:r>
      <w:r w:rsidR="002A70A1" w:rsidRPr="001F7551">
        <w:rPr>
          <w:lang w:eastAsia="pl-PL"/>
        </w:rPr>
        <w:t>Z</w:t>
      </w:r>
      <w:r w:rsidR="00E131CA" w:rsidRPr="001F7551">
        <w:rPr>
          <w:lang w:eastAsia="pl-PL"/>
        </w:rPr>
        <w:t xml:space="preserve">ostał on wytypowany jako najbardziej charakterystyczny dla wszystkich jednostek chorobowych. </w:t>
      </w:r>
      <w:r w:rsidR="00737771" w:rsidRPr="001F7551">
        <w:rPr>
          <w:lang w:eastAsia="pl-PL"/>
        </w:rPr>
        <w:t xml:space="preserve"> </w:t>
      </w:r>
    </w:p>
    <w:p w:rsidR="00737771" w:rsidRPr="001F7551" w:rsidRDefault="00737771" w:rsidP="001F7551">
      <w:pPr>
        <w:pStyle w:val="NoSpacing"/>
        <w:jc w:val="both"/>
        <w:rPr>
          <w:lang w:eastAsia="pl-PL"/>
        </w:rPr>
      </w:pPr>
    </w:p>
    <w:p w:rsidR="00737771" w:rsidRPr="001F7551" w:rsidRDefault="00737771" w:rsidP="001F755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F7551">
        <w:rPr>
          <w:rFonts w:asciiTheme="minorHAnsi" w:hAnsiTheme="minorHAnsi"/>
          <w:sz w:val="22"/>
          <w:szCs w:val="22"/>
        </w:rPr>
        <w:t xml:space="preserve">PODZIĘKOWANIE </w:t>
      </w:r>
    </w:p>
    <w:p w:rsidR="00E131CA" w:rsidRPr="001F7551" w:rsidRDefault="00737771" w:rsidP="001F7551">
      <w:pPr>
        <w:pStyle w:val="NoSpacing"/>
        <w:jc w:val="both"/>
        <w:rPr>
          <w:lang w:eastAsia="pl-PL"/>
        </w:rPr>
      </w:pPr>
      <w:r w:rsidRPr="001F7551">
        <w:t>Projekt został sfinansowany ze środkó</w:t>
      </w:r>
      <w:r w:rsidR="001F7551" w:rsidRPr="001F7551">
        <w:t xml:space="preserve">w </w:t>
      </w:r>
      <w:r w:rsidRPr="001F7551">
        <w:t>Narodowego Centrum Nauk</w:t>
      </w:r>
      <w:r w:rsidR="001F7551" w:rsidRPr="001F7551">
        <w:t xml:space="preserve">i </w:t>
      </w:r>
      <w:r w:rsidRPr="001F7551">
        <w:t>przyznanych na podstawie decyzj</w:t>
      </w:r>
      <w:r w:rsidR="001F7551" w:rsidRPr="001F7551">
        <w:t xml:space="preserve">i </w:t>
      </w:r>
      <w:r w:rsidRPr="001F7551">
        <w:t xml:space="preserve">numer </w:t>
      </w:r>
      <w:r w:rsidRPr="001F7551">
        <w:rPr>
          <w:rFonts w:cs="Arial"/>
          <w:color w:val="222222"/>
          <w:shd w:val="clear" w:color="auto" w:fill="FFFFFF"/>
        </w:rPr>
        <w:t>DEC-2011/01/B/ST6/06988</w:t>
      </w:r>
      <w:r w:rsidR="00DC46DD">
        <w:rPr>
          <w:lang w:eastAsia="pl-PL"/>
        </w:rPr>
        <w:t>.</w:t>
      </w:r>
    </w:p>
    <w:p w:rsidR="00E131CA" w:rsidRPr="001F7551" w:rsidRDefault="00E131CA" w:rsidP="001F7551">
      <w:pPr>
        <w:pStyle w:val="NoSpacing"/>
        <w:jc w:val="both"/>
        <w:rPr>
          <w:lang w:eastAsia="pl-PL"/>
        </w:rPr>
      </w:pPr>
      <w:r w:rsidRPr="001F7551">
        <w:rPr>
          <w:lang w:eastAsia="pl-PL"/>
        </w:rPr>
        <w:t> </w:t>
      </w:r>
    </w:p>
    <w:p w:rsidR="00E131CA" w:rsidRPr="001F7551" w:rsidRDefault="00E131CA" w:rsidP="001F7551">
      <w:pPr>
        <w:pStyle w:val="NoSpacing"/>
        <w:jc w:val="both"/>
        <w:rPr>
          <w:sz w:val="20"/>
          <w:szCs w:val="20"/>
          <w:lang w:eastAsia="pl-PL"/>
        </w:rPr>
      </w:pPr>
      <w:r w:rsidRPr="001F7551">
        <w:rPr>
          <w:sz w:val="20"/>
          <w:szCs w:val="20"/>
          <w:lang w:eastAsia="pl-PL"/>
        </w:rPr>
        <w:t xml:space="preserve">LITERATURA </w:t>
      </w:r>
    </w:p>
    <w:p w:rsidR="00E131CA" w:rsidRPr="001F7551" w:rsidRDefault="001F7551" w:rsidP="001F7551">
      <w:pPr>
        <w:pStyle w:val="NoSpacing"/>
        <w:jc w:val="both"/>
        <w:rPr>
          <w:sz w:val="20"/>
          <w:szCs w:val="20"/>
          <w:lang w:eastAsia="pl-PL"/>
        </w:rPr>
      </w:pPr>
      <w:r w:rsidRPr="001F7551">
        <w:rPr>
          <w:sz w:val="20"/>
          <w:szCs w:val="20"/>
          <w:lang w:eastAsia="pl-PL"/>
        </w:rPr>
        <w:t xml:space="preserve">[1] </w:t>
      </w:r>
      <w:r w:rsidR="00E131CA" w:rsidRPr="001F7551">
        <w:rPr>
          <w:sz w:val="20"/>
          <w:szCs w:val="20"/>
          <w:lang w:eastAsia="pl-PL"/>
        </w:rPr>
        <w:t>Metoda oszacowania siły reakcj</w:t>
      </w:r>
      <w:r w:rsidRPr="001F7551">
        <w:rPr>
          <w:sz w:val="20"/>
          <w:szCs w:val="20"/>
          <w:lang w:eastAsia="pl-PL"/>
        </w:rPr>
        <w:t xml:space="preserve">i </w:t>
      </w:r>
      <w:r w:rsidR="00E131CA" w:rsidRPr="001F7551">
        <w:rPr>
          <w:sz w:val="20"/>
          <w:szCs w:val="20"/>
          <w:lang w:eastAsia="pl-PL"/>
        </w:rPr>
        <w:t>podłoża</w:t>
      </w:r>
      <w:r w:rsidRPr="001F7551">
        <w:rPr>
          <w:sz w:val="20"/>
          <w:szCs w:val="20"/>
          <w:lang w:eastAsia="pl-PL"/>
        </w:rPr>
        <w:t xml:space="preserve"> w </w:t>
      </w:r>
      <w:r w:rsidR="00E131CA" w:rsidRPr="001F7551">
        <w:rPr>
          <w:sz w:val="20"/>
          <w:szCs w:val="20"/>
          <w:lang w:eastAsia="pl-PL"/>
        </w:rPr>
        <w:t>chodzie prawidłowym</w:t>
      </w:r>
      <w:r w:rsidRPr="001F7551">
        <w:rPr>
          <w:sz w:val="20"/>
          <w:szCs w:val="20"/>
          <w:lang w:eastAsia="pl-PL"/>
        </w:rPr>
        <w:t xml:space="preserve"> i </w:t>
      </w:r>
      <w:r w:rsidR="00A35EBE">
        <w:rPr>
          <w:sz w:val="20"/>
          <w:szCs w:val="20"/>
          <w:lang w:eastAsia="pl-PL"/>
        </w:rPr>
        <w:t xml:space="preserve">patologicznym człowieka; Sławomir Winiarski; </w:t>
      </w:r>
      <w:r w:rsidR="00E131CA" w:rsidRPr="001F7551">
        <w:rPr>
          <w:sz w:val="20"/>
          <w:szCs w:val="20"/>
          <w:lang w:eastAsia="pl-PL"/>
        </w:rPr>
        <w:t>Analiza ruchu – teoria</w:t>
      </w:r>
      <w:r w:rsidRPr="001F7551">
        <w:rPr>
          <w:sz w:val="20"/>
          <w:szCs w:val="20"/>
          <w:lang w:eastAsia="pl-PL"/>
        </w:rPr>
        <w:t xml:space="preserve"> i </w:t>
      </w:r>
      <w:r w:rsidR="00E131CA" w:rsidRPr="001F7551">
        <w:rPr>
          <w:sz w:val="20"/>
          <w:szCs w:val="20"/>
          <w:lang w:eastAsia="pl-PL"/>
        </w:rPr>
        <w:t>praktyka</w:t>
      </w:r>
      <w:r w:rsidRPr="001F7551">
        <w:rPr>
          <w:sz w:val="20"/>
          <w:szCs w:val="20"/>
          <w:lang w:eastAsia="pl-PL"/>
        </w:rPr>
        <w:t xml:space="preserve"> w </w:t>
      </w:r>
      <w:r w:rsidR="00A35EBE">
        <w:rPr>
          <w:sz w:val="20"/>
          <w:szCs w:val="20"/>
          <w:lang w:eastAsia="pl-PL"/>
        </w:rPr>
        <w:t>zastosowaniach klinicznych</w:t>
      </w:r>
      <w:r w:rsidR="00E131CA" w:rsidRPr="001F7551">
        <w:rPr>
          <w:sz w:val="20"/>
          <w:szCs w:val="20"/>
          <w:lang w:eastAsia="pl-PL"/>
        </w:rPr>
        <w:t>; Instytut „Pomnik – Centrum Zdrowia Dziecka”Warszawa, 6 marca 2009</w:t>
      </w:r>
      <w:r w:rsidRPr="001F7551">
        <w:rPr>
          <w:sz w:val="20"/>
          <w:szCs w:val="20"/>
          <w:lang w:eastAsia="pl-PL"/>
        </w:rPr>
        <w:t>;</w:t>
      </w:r>
    </w:p>
    <w:p w:rsidR="00E131CA" w:rsidRPr="001F7551" w:rsidRDefault="00E131CA" w:rsidP="001F7551">
      <w:pPr>
        <w:pStyle w:val="NoSpacing"/>
        <w:jc w:val="both"/>
        <w:rPr>
          <w:sz w:val="20"/>
          <w:szCs w:val="20"/>
          <w:lang w:eastAsia="pl-PL"/>
        </w:rPr>
      </w:pPr>
      <w:r w:rsidRPr="001F7551">
        <w:rPr>
          <w:sz w:val="20"/>
          <w:szCs w:val="20"/>
          <w:lang w:eastAsia="pl-PL"/>
        </w:rPr>
        <w:t>[2] Ocena chodu chorych</w:t>
      </w:r>
      <w:r w:rsidR="001F7551" w:rsidRPr="001F7551">
        <w:rPr>
          <w:sz w:val="20"/>
          <w:szCs w:val="20"/>
          <w:lang w:eastAsia="pl-PL"/>
        </w:rPr>
        <w:t xml:space="preserve"> z </w:t>
      </w:r>
      <w:r w:rsidRPr="001F7551">
        <w:rPr>
          <w:sz w:val="20"/>
          <w:szCs w:val="20"/>
          <w:lang w:eastAsia="pl-PL"/>
        </w:rPr>
        <w:t>niedowładem połowiczym po udarze mózgu</w:t>
      </w:r>
      <w:r w:rsidR="001F7551" w:rsidRPr="001F7551">
        <w:rPr>
          <w:sz w:val="20"/>
          <w:szCs w:val="20"/>
          <w:lang w:eastAsia="pl-PL"/>
        </w:rPr>
        <w:t xml:space="preserve"> z </w:t>
      </w:r>
      <w:r w:rsidRPr="001F7551">
        <w:rPr>
          <w:sz w:val="20"/>
          <w:szCs w:val="20"/>
          <w:lang w:eastAsia="pl-PL"/>
        </w:rPr>
        <w:t>wykorzystaniem</w:t>
      </w:r>
    </w:p>
    <w:p w:rsidR="00E131CA" w:rsidRPr="001F7551" w:rsidRDefault="00E131CA" w:rsidP="001F7551">
      <w:pPr>
        <w:pStyle w:val="NoSpacing"/>
        <w:jc w:val="both"/>
        <w:rPr>
          <w:sz w:val="20"/>
          <w:szCs w:val="20"/>
          <w:lang w:eastAsia="pl-PL"/>
        </w:rPr>
      </w:pPr>
      <w:r w:rsidRPr="001F7551">
        <w:rPr>
          <w:sz w:val="20"/>
          <w:szCs w:val="20"/>
          <w:lang w:eastAsia="pl-PL"/>
        </w:rPr>
        <w:t>Wisconsin Gait Scale – doniesienie wstępne; Marius</w:t>
      </w:r>
      <w:r w:rsidR="001F7551" w:rsidRPr="001F7551">
        <w:rPr>
          <w:sz w:val="20"/>
          <w:szCs w:val="20"/>
          <w:lang w:eastAsia="pl-PL"/>
        </w:rPr>
        <w:t xml:space="preserve">z </w:t>
      </w:r>
      <w:r w:rsidRPr="001F7551">
        <w:rPr>
          <w:sz w:val="20"/>
          <w:szCs w:val="20"/>
          <w:lang w:eastAsia="pl-PL"/>
        </w:rPr>
        <w:t>Drużbicki, Grzegor</w:t>
      </w:r>
      <w:r w:rsidR="001F7551" w:rsidRPr="001F7551">
        <w:rPr>
          <w:sz w:val="20"/>
          <w:szCs w:val="20"/>
          <w:lang w:eastAsia="pl-PL"/>
        </w:rPr>
        <w:t xml:space="preserve">z </w:t>
      </w:r>
      <w:r w:rsidRPr="001F7551">
        <w:rPr>
          <w:sz w:val="20"/>
          <w:szCs w:val="20"/>
          <w:lang w:eastAsia="pl-PL"/>
        </w:rPr>
        <w:t>Przysada, Krzysztof Kołodziej, Justyna Rykała, Justyna Podgórska; Przegląd Medyczny Uniwersytetu Rzeszowskiego; Rzeszó</w:t>
      </w:r>
      <w:r w:rsidR="001F7551" w:rsidRPr="001F7551">
        <w:rPr>
          <w:sz w:val="20"/>
          <w:szCs w:val="20"/>
          <w:lang w:eastAsia="pl-PL"/>
        </w:rPr>
        <w:t xml:space="preserve">w </w:t>
      </w:r>
      <w:r w:rsidRPr="001F7551">
        <w:rPr>
          <w:sz w:val="20"/>
          <w:szCs w:val="20"/>
          <w:lang w:eastAsia="pl-PL"/>
        </w:rPr>
        <w:t>2010</w:t>
      </w:r>
      <w:r w:rsidR="001F7551" w:rsidRPr="001F7551">
        <w:rPr>
          <w:sz w:val="20"/>
          <w:szCs w:val="20"/>
          <w:lang w:eastAsia="pl-PL"/>
        </w:rPr>
        <w:t>;</w:t>
      </w:r>
    </w:p>
    <w:p w:rsidR="00E131CA" w:rsidRPr="001F7551" w:rsidRDefault="00E131CA" w:rsidP="001F7551">
      <w:pPr>
        <w:pStyle w:val="NoSpacing"/>
        <w:jc w:val="both"/>
        <w:rPr>
          <w:sz w:val="20"/>
          <w:szCs w:val="20"/>
          <w:lang w:eastAsia="pl-PL"/>
        </w:rPr>
      </w:pPr>
      <w:r w:rsidRPr="001F7551">
        <w:rPr>
          <w:sz w:val="20"/>
          <w:szCs w:val="20"/>
          <w:lang w:eastAsia="pl-PL"/>
        </w:rPr>
        <w:t>[3] Ocena funkcj</w:t>
      </w:r>
      <w:r w:rsidR="001F7551" w:rsidRPr="001F7551">
        <w:rPr>
          <w:sz w:val="20"/>
          <w:szCs w:val="20"/>
          <w:lang w:eastAsia="pl-PL"/>
        </w:rPr>
        <w:t xml:space="preserve">i </w:t>
      </w:r>
      <w:r w:rsidRPr="001F7551">
        <w:rPr>
          <w:sz w:val="20"/>
          <w:szCs w:val="20"/>
          <w:lang w:eastAsia="pl-PL"/>
        </w:rPr>
        <w:t>chodu chorych</w:t>
      </w:r>
      <w:r w:rsidR="001F7551" w:rsidRPr="001F7551">
        <w:rPr>
          <w:sz w:val="20"/>
          <w:szCs w:val="20"/>
          <w:lang w:eastAsia="pl-PL"/>
        </w:rPr>
        <w:t xml:space="preserve"> z </w:t>
      </w:r>
      <w:r w:rsidRPr="001F7551">
        <w:rPr>
          <w:sz w:val="20"/>
          <w:szCs w:val="20"/>
          <w:lang w:eastAsia="pl-PL"/>
        </w:rPr>
        <w:t>niedowładem połowiczym po udarze mózgu</w:t>
      </w:r>
    </w:p>
    <w:p w:rsidR="00E131CA" w:rsidRPr="001F7551" w:rsidRDefault="001F7551" w:rsidP="001F7551">
      <w:pPr>
        <w:pStyle w:val="NoSpacing"/>
        <w:jc w:val="both"/>
        <w:rPr>
          <w:sz w:val="20"/>
          <w:szCs w:val="20"/>
          <w:lang w:eastAsia="pl-PL"/>
        </w:rPr>
      </w:pPr>
      <w:r w:rsidRPr="001F7551">
        <w:rPr>
          <w:sz w:val="20"/>
          <w:szCs w:val="20"/>
          <w:lang w:eastAsia="pl-PL"/>
        </w:rPr>
        <w:t xml:space="preserve">w </w:t>
      </w:r>
      <w:r w:rsidR="00E131CA" w:rsidRPr="001F7551">
        <w:rPr>
          <w:sz w:val="20"/>
          <w:szCs w:val="20"/>
          <w:lang w:eastAsia="pl-PL"/>
        </w:rPr>
        <w:t>okresie przewlekłym; Marius</w:t>
      </w:r>
      <w:r w:rsidRPr="001F7551">
        <w:rPr>
          <w:sz w:val="20"/>
          <w:szCs w:val="20"/>
          <w:lang w:eastAsia="pl-PL"/>
        </w:rPr>
        <w:t xml:space="preserve">z </w:t>
      </w:r>
      <w:r w:rsidR="00E131CA" w:rsidRPr="001F7551">
        <w:rPr>
          <w:sz w:val="20"/>
          <w:szCs w:val="20"/>
          <w:lang w:eastAsia="pl-PL"/>
        </w:rPr>
        <w:t>Drużbicki, Andrzej Kwolek, Grzegor</w:t>
      </w:r>
      <w:r w:rsidRPr="001F7551">
        <w:rPr>
          <w:sz w:val="20"/>
          <w:szCs w:val="20"/>
          <w:lang w:eastAsia="pl-PL"/>
        </w:rPr>
        <w:t xml:space="preserve">z </w:t>
      </w:r>
      <w:r w:rsidR="00E131CA" w:rsidRPr="001F7551">
        <w:rPr>
          <w:sz w:val="20"/>
          <w:szCs w:val="20"/>
          <w:lang w:eastAsia="pl-PL"/>
        </w:rPr>
        <w:t>Przysada, Teresa Pop, Agnieszka Depa; Przegląd Medyczny Uniwersytetu Rzeszowskiego; Rzeszó</w:t>
      </w:r>
      <w:r w:rsidRPr="001F7551">
        <w:rPr>
          <w:sz w:val="20"/>
          <w:szCs w:val="20"/>
          <w:lang w:eastAsia="pl-PL"/>
        </w:rPr>
        <w:t xml:space="preserve">w </w:t>
      </w:r>
      <w:r w:rsidR="00E131CA" w:rsidRPr="001F7551">
        <w:rPr>
          <w:sz w:val="20"/>
          <w:szCs w:val="20"/>
          <w:lang w:eastAsia="pl-PL"/>
        </w:rPr>
        <w:t>2010</w:t>
      </w:r>
      <w:r w:rsidRPr="001F7551">
        <w:rPr>
          <w:sz w:val="20"/>
          <w:szCs w:val="20"/>
          <w:lang w:eastAsia="pl-PL"/>
        </w:rPr>
        <w:t>;</w:t>
      </w:r>
    </w:p>
    <w:p w:rsidR="00A35EBE" w:rsidRPr="005F4268" w:rsidRDefault="00E131CA" w:rsidP="001F7551">
      <w:pPr>
        <w:pStyle w:val="NoSpacing"/>
        <w:jc w:val="both"/>
        <w:rPr>
          <w:sz w:val="20"/>
          <w:szCs w:val="20"/>
          <w:lang w:eastAsia="pl-PL"/>
        </w:rPr>
      </w:pPr>
      <w:r w:rsidRPr="005F4268">
        <w:rPr>
          <w:sz w:val="20"/>
          <w:szCs w:val="20"/>
          <w:lang w:eastAsia="pl-PL"/>
        </w:rPr>
        <w:t>[4] Stan zdrowia ludnośc</w:t>
      </w:r>
      <w:r w:rsidR="001F7551" w:rsidRPr="005F4268">
        <w:rPr>
          <w:sz w:val="20"/>
          <w:szCs w:val="20"/>
          <w:lang w:eastAsia="pl-PL"/>
        </w:rPr>
        <w:t xml:space="preserve">i </w:t>
      </w:r>
      <w:r w:rsidRPr="005F4268">
        <w:rPr>
          <w:sz w:val="20"/>
          <w:szCs w:val="20"/>
          <w:lang w:eastAsia="pl-PL"/>
        </w:rPr>
        <w:t>polsk</w:t>
      </w:r>
      <w:r w:rsidR="001F7551" w:rsidRPr="005F4268">
        <w:rPr>
          <w:sz w:val="20"/>
          <w:szCs w:val="20"/>
          <w:lang w:eastAsia="pl-PL"/>
        </w:rPr>
        <w:t>i w </w:t>
      </w:r>
      <w:r w:rsidRPr="005F4268">
        <w:rPr>
          <w:sz w:val="20"/>
          <w:szCs w:val="20"/>
          <w:lang w:eastAsia="pl-PL"/>
        </w:rPr>
        <w:t>2009R; Główny Urząd Statystyczny; Departament Badań Społecznych; Warszawa 2011</w:t>
      </w:r>
      <w:r w:rsidR="00A35EBE" w:rsidRPr="005F4268">
        <w:rPr>
          <w:sz w:val="20"/>
          <w:szCs w:val="20"/>
          <w:lang w:eastAsia="pl-PL"/>
        </w:rPr>
        <w:t>;</w:t>
      </w:r>
    </w:p>
    <w:p w:rsidR="00183E11" w:rsidRPr="005F4268" w:rsidRDefault="00E131CA" w:rsidP="001F7551">
      <w:pPr>
        <w:pStyle w:val="NoSpacing"/>
        <w:jc w:val="both"/>
        <w:rPr>
          <w:sz w:val="20"/>
          <w:szCs w:val="20"/>
          <w:lang w:val="en-US"/>
        </w:rPr>
      </w:pPr>
      <w:r w:rsidRPr="005F4268">
        <w:rPr>
          <w:sz w:val="20"/>
          <w:szCs w:val="20"/>
          <w:lang w:val="en-US" w:eastAsia="pl-PL"/>
        </w:rPr>
        <w:t xml:space="preserve">[5] Dynamic Time Warping In Gait Classification of Motion Capture Data, Adam </w:t>
      </w:r>
      <w:proofErr w:type="spellStart"/>
      <w:r w:rsidRPr="005F4268">
        <w:rPr>
          <w:sz w:val="20"/>
          <w:szCs w:val="20"/>
          <w:lang w:val="en-US" w:eastAsia="pl-PL"/>
        </w:rPr>
        <w:t>Świtoński</w:t>
      </w:r>
      <w:proofErr w:type="spellEnd"/>
      <w:r w:rsidRPr="005F4268">
        <w:rPr>
          <w:sz w:val="20"/>
          <w:szCs w:val="20"/>
          <w:lang w:val="en-US" w:eastAsia="pl-PL"/>
        </w:rPr>
        <w:t xml:space="preserve">, </w:t>
      </w:r>
      <w:proofErr w:type="spellStart"/>
      <w:r w:rsidRPr="005F4268">
        <w:rPr>
          <w:sz w:val="20"/>
          <w:szCs w:val="20"/>
          <w:lang w:val="en-US" w:eastAsia="pl-PL"/>
        </w:rPr>
        <w:t>Agnieszka</w:t>
      </w:r>
      <w:proofErr w:type="spellEnd"/>
      <w:r w:rsidRPr="005F4268">
        <w:rPr>
          <w:sz w:val="20"/>
          <w:szCs w:val="20"/>
          <w:lang w:val="en-US" w:eastAsia="pl-PL"/>
        </w:rPr>
        <w:t xml:space="preserve"> </w:t>
      </w:r>
      <w:proofErr w:type="spellStart"/>
      <w:r w:rsidRPr="005F4268">
        <w:rPr>
          <w:sz w:val="20"/>
          <w:szCs w:val="20"/>
          <w:lang w:val="en-US" w:eastAsia="pl-PL"/>
        </w:rPr>
        <w:t>Michalczuk</w:t>
      </w:r>
      <w:proofErr w:type="spellEnd"/>
      <w:r w:rsidRPr="005F4268">
        <w:rPr>
          <w:sz w:val="20"/>
          <w:szCs w:val="20"/>
          <w:lang w:val="en-US" w:eastAsia="pl-PL"/>
        </w:rPr>
        <w:t xml:space="preserve">, </w:t>
      </w:r>
      <w:proofErr w:type="spellStart"/>
      <w:r w:rsidRPr="005F4268">
        <w:rPr>
          <w:sz w:val="20"/>
          <w:szCs w:val="20"/>
          <w:lang w:val="en-US" w:eastAsia="pl-PL"/>
        </w:rPr>
        <w:t>Henryk</w:t>
      </w:r>
      <w:proofErr w:type="spellEnd"/>
      <w:r w:rsidRPr="005F4268">
        <w:rPr>
          <w:sz w:val="20"/>
          <w:szCs w:val="20"/>
          <w:lang w:val="en-US" w:eastAsia="pl-PL"/>
        </w:rPr>
        <w:t xml:space="preserve"> </w:t>
      </w:r>
      <w:proofErr w:type="spellStart"/>
      <w:r w:rsidRPr="005F4268">
        <w:rPr>
          <w:sz w:val="20"/>
          <w:szCs w:val="20"/>
          <w:lang w:val="en-US" w:eastAsia="pl-PL"/>
        </w:rPr>
        <w:t>Josiński</w:t>
      </w:r>
      <w:proofErr w:type="spellEnd"/>
      <w:r w:rsidRPr="005F4268">
        <w:rPr>
          <w:sz w:val="20"/>
          <w:szCs w:val="20"/>
          <w:lang w:val="en-US" w:eastAsia="pl-PL"/>
        </w:rPr>
        <w:t xml:space="preserve">, Andrzej </w:t>
      </w:r>
      <w:proofErr w:type="spellStart"/>
      <w:r w:rsidRPr="005F4268">
        <w:rPr>
          <w:sz w:val="20"/>
          <w:szCs w:val="20"/>
          <w:lang w:val="en-US" w:eastAsia="pl-PL"/>
        </w:rPr>
        <w:t>Polański</w:t>
      </w:r>
      <w:proofErr w:type="spellEnd"/>
      <w:r w:rsidRPr="005F4268">
        <w:rPr>
          <w:sz w:val="20"/>
          <w:szCs w:val="20"/>
          <w:lang w:val="en-US" w:eastAsia="pl-PL"/>
        </w:rPr>
        <w:t xml:space="preserve">, and Konrad </w:t>
      </w:r>
      <w:proofErr w:type="spellStart"/>
      <w:r w:rsidRPr="005F4268">
        <w:rPr>
          <w:sz w:val="20"/>
          <w:szCs w:val="20"/>
          <w:lang w:val="en-US" w:eastAsia="pl-PL"/>
        </w:rPr>
        <w:t>Wojciechowski</w:t>
      </w:r>
      <w:proofErr w:type="spellEnd"/>
      <w:r w:rsidRPr="005F4268">
        <w:rPr>
          <w:sz w:val="20"/>
          <w:szCs w:val="20"/>
          <w:lang w:val="en-US" w:eastAsia="pl-PL"/>
        </w:rPr>
        <w:t>; World Academy of Science, Engineering and Technology; Vol:71 2012-11-20;</w:t>
      </w:r>
      <w:r w:rsidR="00DC46DD" w:rsidRPr="005F4268">
        <w:rPr>
          <w:sz w:val="20"/>
          <w:szCs w:val="20"/>
          <w:lang w:val="en-US"/>
        </w:rPr>
        <w:t xml:space="preserve"> </w:t>
      </w:r>
    </w:p>
    <w:p w:rsidR="005F4268" w:rsidRPr="005F4268" w:rsidRDefault="005F4268" w:rsidP="001F7551">
      <w:pPr>
        <w:pStyle w:val="NoSpacing"/>
        <w:jc w:val="both"/>
        <w:rPr>
          <w:sz w:val="20"/>
          <w:szCs w:val="20"/>
          <w:lang w:val="en-US"/>
        </w:rPr>
      </w:pPr>
      <w:r w:rsidRPr="005F4268">
        <w:rPr>
          <w:sz w:val="20"/>
          <w:szCs w:val="20"/>
          <w:lang w:val="en-US"/>
        </w:rPr>
        <w:t>[6] http://hml.pjwstk.edu.pl/</w:t>
      </w:r>
    </w:p>
    <w:sectPr w:rsidR="005F4268" w:rsidRPr="005F4268" w:rsidSect="005F4268">
      <w:pgSz w:w="11906" w:h="16838"/>
      <w:pgMar w:top="1304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A"/>
    <w:rsid w:val="0002545C"/>
    <w:rsid w:val="000C22A1"/>
    <w:rsid w:val="001F7551"/>
    <w:rsid w:val="00270941"/>
    <w:rsid w:val="002A70A1"/>
    <w:rsid w:val="003E4743"/>
    <w:rsid w:val="0045425F"/>
    <w:rsid w:val="00575465"/>
    <w:rsid w:val="005F4268"/>
    <w:rsid w:val="0060330C"/>
    <w:rsid w:val="0061369A"/>
    <w:rsid w:val="0067435A"/>
    <w:rsid w:val="00737771"/>
    <w:rsid w:val="00822845"/>
    <w:rsid w:val="00866025"/>
    <w:rsid w:val="008E1AAE"/>
    <w:rsid w:val="0092077A"/>
    <w:rsid w:val="00A35EBE"/>
    <w:rsid w:val="00BF256B"/>
    <w:rsid w:val="00D2307C"/>
    <w:rsid w:val="00DC46DD"/>
    <w:rsid w:val="00E1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A137-7C74-4B42-B48A-FD7B655A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1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92077A"/>
    <w:pPr>
      <w:spacing w:after="0" w:line="240" w:lineRule="auto"/>
    </w:pPr>
  </w:style>
  <w:style w:type="paragraph" w:customStyle="1" w:styleId="Default">
    <w:name w:val="Default"/>
    <w:rsid w:val="0073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37771"/>
  </w:style>
  <w:style w:type="table" w:styleId="PlainTable1">
    <w:name w:val="Plain Table 1"/>
    <w:basedOn w:val="TableNormal"/>
    <w:uiPriority w:val="41"/>
    <w:rsid w:val="001F75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F755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2CC3-3B78-4842-9F10-E9FE8AFC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Ocena zaburzeń ruchowych wybranych okolic stawów prowadzona na bazie transformaty dynamicznego marszczenia czasu</vt:lpstr>
    </vt:vector>
  </TitlesOfParts>
  <Company>PJWSTK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zaburzeń ruchowych wybranych okolic stawów prowadzona na bazie transformaty dynamicznego marszczenia czasu</dc:title>
  <dc:subject/>
  <dc:creator>Agu</dc:creator>
  <cp:keywords/>
  <dc:description/>
  <cp:lastModifiedBy>Agu</cp:lastModifiedBy>
  <cp:revision>8</cp:revision>
  <dcterms:created xsi:type="dcterms:W3CDTF">2014-01-31T12:49:00Z</dcterms:created>
  <dcterms:modified xsi:type="dcterms:W3CDTF">2014-01-31T21:17:00Z</dcterms:modified>
</cp:coreProperties>
</file>